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E90B5" w14:textId="77777777" w:rsidR="004A488C" w:rsidRPr="000D4F18" w:rsidRDefault="004A488C" w:rsidP="00E85520">
      <w:pPr>
        <w:spacing w:line="240" w:lineRule="auto"/>
        <w:rPr>
          <w:sz w:val="24"/>
          <w:szCs w:val="24"/>
        </w:rPr>
      </w:pPr>
    </w:p>
    <w:p w14:paraId="0D6457BF" w14:textId="24D49F5B" w:rsidR="004A488C" w:rsidRPr="002C24BA" w:rsidRDefault="004A488C" w:rsidP="002C24BA">
      <w:pPr>
        <w:widowControl w:val="0"/>
        <w:autoSpaceDE w:val="0"/>
        <w:autoSpaceDN w:val="0"/>
        <w:adjustRightInd w:val="0"/>
        <w:spacing w:line="240" w:lineRule="auto"/>
        <w:outlineLvl w:val="0"/>
        <w:rPr>
          <w:rFonts w:eastAsia="System Font"/>
          <w:b/>
          <w:color w:val="000000" w:themeColor="text1"/>
          <w:sz w:val="40"/>
          <w:szCs w:val="40"/>
        </w:rPr>
      </w:pPr>
      <w:r w:rsidRPr="00E85520">
        <w:rPr>
          <w:rFonts w:eastAsia="System Font"/>
          <w:b/>
          <w:color w:val="000000" w:themeColor="text1"/>
          <w:sz w:val="40"/>
          <w:szCs w:val="40"/>
        </w:rPr>
        <w:t xml:space="preserve">Minska spädbarnsdödligheten i Sverige </w:t>
      </w:r>
    </w:p>
    <w:p w14:paraId="123D0464" w14:textId="1075A705" w:rsidR="000D4F18" w:rsidRPr="00E85520" w:rsidRDefault="00580F24" w:rsidP="00E85520">
      <w:pPr>
        <w:shd w:val="clear" w:color="auto" w:fill="FFFFFF"/>
        <w:spacing w:line="240" w:lineRule="auto"/>
        <w:rPr>
          <w:color w:val="000000" w:themeColor="text1"/>
        </w:rPr>
      </w:pPr>
      <w:r>
        <w:rPr>
          <w:color w:val="000000" w:themeColor="text1"/>
        </w:rPr>
        <w:br/>
      </w:r>
      <w:r w:rsidR="004A488C" w:rsidRPr="00E85520">
        <w:rPr>
          <w:color w:val="000000" w:themeColor="text1"/>
        </w:rPr>
        <w:t xml:space="preserve">Under 2015 föddes 429 döda barn i Sverige (det innebär 3,72 dödfödda på 1000 födslar). Siffran 429 döda barn kan tyckas låg i relation till att det föds drygt 100 000 barn varje år i Sverige, men det innebär att fler än åtta barn föds döda varje vecka, 900 föräldrar är direkt drabbade och ännu fler nära anhöriga mister ett efterlängtat barn. </w:t>
      </w:r>
    </w:p>
    <w:p w14:paraId="1A913DC8" w14:textId="49DE3AF5" w:rsidR="004A488C" w:rsidRPr="00E85520" w:rsidRDefault="004A488C" w:rsidP="00E85520">
      <w:pPr>
        <w:shd w:val="clear" w:color="auto" w:fill="FFFFFF"/>
        <w:spacing w:line="240" w:lineRule="auto"/>
        <w:rPr>
          <w:color w:val="000000" w:themeColor="text1"/>
        </w:rPr>
      </w:pPr>
      <w:r w:rsidRPr="00E85520">
        <w:rPr>
          <w:color w:val="000000" w:themeColor="text1"/>
        </w:rPr>
        <w:t xml:space="preserve">Bakom varje dödstal finns ett barn som aldrig fick se världen och familjer som möter en livslång sorg. Detta innebär samhällskostnader i form av psykisk ohälsa och sjukskrivningar. </w:t>
      </w:r>
    </w:p>
    <w:p w14:paraId="50FBDFFF" w14:textId="434E5311" w:rsidR="004A488C" w:rsidRPr="00E85520" w:rsidRDefault="004A488C" w:rsidP="00E85520">
      <w:pPr>
        <w:shd w:val="clear" w:color="auto" w:fill="FFFFFF"/>
        <w:spacing w:line="240" w:lineRule="auto"/>
        <w:rPr>
          <w:color w:val="000000" w:themeColor="text1"/>
        </w:rPr>
      </w:pPr>
      <w:r w:rsidRPr="00E85520">
        <w:rPr>
          <w:color w:val="000000" w:themeColor="text1"/>
        </w:rPr>
        <w:t>I juridisk</w:t>
      </w:r>
      <w:r w:rsidR="005D5E1E">
        <w:rPr>
          <w:color w:val="000000" w:themeColor="text1"/>
        </w:rPr>
        <w:t xml:space="preserve"> mening är ett barn </w:t>
      </w:r>
      <w:bookmarkStart w:id="0" w:name="_GoBack"/>
      <w:bookmarkEnd w:id="0"/>
      <w:r w:rsidR="005D5E1E">
        <w:rPr>
          <w:color w:val="000000" w:themeColor="text1"/>
        </w:rPr>
        <w:t>ett barn</w:t>
      </w:r>
      <w:r w:rsidRPr="00E85520">
        <w:rPr>
          <w:color w:val="000000" w:themeColor="text1"/>
        </w:rPr>
        <w:t xml:space="preserve"> efter den 22:a graviditetsveckan, även om det dör före förlossning</w:t>
      </w:r>
      <w:r w:rsidRPr="00E85520">
        <w:rPr>
          <w:rStyle w:val="Fotnotsreferens"/>
          <w:color w:val="000000" w:themeColor="text1"/>
        </w:rPr>
        <w:footnoteReference w:id="1"/>
      </w:r>
      <w:r w:rsidRPr="00E85520">
        <w:rPr>
          <w:color w:val="000000" w:themeColor="text1"/>
        </w:rPr>
        <w:t>. Barnen som dör i mammans mage uppmärksammas sällan. De är en stor grupp små individer som knappt omnämns eller diskuteras. Globalt handlar det om 2,6 miljoner barn årligen som dör i slutskedet av graviditeten. Det är fler än vad som dör i malaria och aids tillsammans</w:t>
      </w:r>
      <w:r w:rsidRPr="00E85520">
        <w:rPr>
          <w:rStyle w:val="Fotnotsreferens"/>
          <w:color w:val="000000" w:themeColor="text1"/>
        </w:rPr>
        <w:footnoteReference w:id="2"/>
      </w:r>
      <w:r w:rsidRPr="00E85520">
        <w:rPr>
          <w:color w:val="000000" w:themeColor="text1"/>
        </w:rPr>
        <w:t xml:space="preserve">. </w:t>
      </w:r>
    </w:p>
    <w:p w14:paraId="07FC2090" w14:textId="58122CC9" w:rsidR="00BC25B4" w:rsidRPr="00E85520" w:rsidRDefault="004A488C" w:rsidP="00E85520">
      <w:pPr>
        <w:widowControl w:val="0"/>
        <w:autoSpaceDE w:val="0"/>
        <w:autoSpaceDN w:val="0"/>
        <w:adjustRightInd w:val="0"/>
        <w:spacing w:line="240" w:lineRule="auto"/>
        <w:rPr>
          <w:color w:val="000000" w:themeColor="text1"/>
        </w:rPr>
      </w:pPr>
      <w:r w:rsidRPr="00E85520">
        <w:rPr>
          <w:color w:val="000000" w:themeColor="text1"/>
        </w:rPr>
        <w:t>Trots de stora medicinska framsteg som skett inom svensk hälso- och sjukvård har antalet dödfödda barn inte minskat på 20 år.</w:t>
      </w:r>
      <w:r w:rsidRPr="00E85520">
        <w:rPr>
          <w:i/>
          <w:color w:val="000000" w:themeColor="text1"/>
        </w:rPr>
        <w:t xml:space="preserve"> </w:t>
      </w:r>
      <w:r w:rsidRPr="00E85520">
        <w:rPr>
          <w:color w:val="000000" w:themeColor="text1"/>
        </w:rPr>
        <w:t xml:space="preserve">Till skillnad från annan spädbarnsdödlighet som exempelvis den neonatala dödlighet (barn som föds levande men som dör inom 27 dygn) </w:t>
      </w:r>
      <w:r w:rsidR="005D5E1E">
        <w:rPr>
          <w:color w:val="000000" w:themeColor="text1"/>
        </w:rPr>
        <w:t xml:space="preserve">och plötslig spädbarnsdöd </w:t>
      </w:r>
      <w:r w:rsidRPr="00E85520">
        <w:rPr>
          <w:color w:val="000000" w:themeColor="text1"/>
        </w:rPr>
        <w:t>har inte dödligheten före födseln minskat.</w:t>
      </w:r>
      <w:r w:rsidR="00BC25B4" w:rsidRPr="00E85520">
        <w:rPr>
          <w:color w:val="000000" w:themeColor="text1"/>
        </w:rPr>
        <w:br/>
      </w:r>
    </w:p>
    <w:p w14:paraId="7C28F8B6" w14:textId="37D1B52B" w:rsidR="004A488C" w:rsidRPr="00E85520" w:rsidRDefault="00887147" w:rsidP="00E85520">
      <w:pPr>
        <w:widowControl w:val="0"/>
        <w:autoSpaceDE w:val="0"/>
        <w:autoSpaceDN w:val="0"/>
        <w:adjustRightInd w:val="0"/>
        <w:spacing w:line="240" w:lineRule="auto"/>
        <w:outlineLvl w:val="0"/>
        <w:rPr>
          <w:rFonts w:eastAsia="System Font"/>
          <w:b/>
          <w:color w:val="000000" w:themeColor="text1"/>
        </w:rPr>
      </w:pPr>
      <w:r>
        <w:rPr>
          <w:rFonts w:eastAsia="System Font"/>
          <w:b/>
          <w:color w:val="000000" w:themeColor="text1"/>
        </w:rPr>
        <w:t>Förslag till å</w:t>
      </w:r>
      <w:r w:rsidR="004A488C" w:rsidRPr="00E85520">
        <w:rPr>
          <w:rFonts w:eastAsia="System Font"/>
          <w:b/>
          <w:color w:val="000000" w:themeColor="text1"/>
        </w:rPr>
        <w:t xml:space="preserve">tgärder </w:t>
      </w:r>
    </w:p>
    <w:p w14:paraId="4ADA62AA" w14:textId="77777777" w:rsidR="004A488C" w:rsidRPr="00E85520" w:rsidRDefault="004A488C" w:rsidP="00E85520">
      <w:pPr>
        <w:pStyle w:val="Liststycke"/>
        <w:widowControl w:val="0"/>
        <w:numPr>
          <w:ilvl w:val="0"/>
          <w:numId w:val="1"/>
        </w:numPr>
        <w:autoSpaceDE w:val="0"/>
        <w:autoSpaceDN w:val="0"/>
        <w:adjustRightInd w:val="0"/>
        <w:spacing w:line="240" w:lineRule="auto"/>
        <w:rPr>
          <w:b/>
          <w:color w:val="000000" w:themeColor="text1"/>
        </w:rPr>
      </w:pPr>
      <w:r w:rsidRPr="00E85520">
        <w:rPr>
          <w:rFonts w:cs="Calibri"/>
          <w:b/>
        </w:rPr>
        <w:t xml:space="preserve">Genomför en nationell analys av spädbarnsdöden i Sverige </w:t>
      </w:r>
    </w:p>
    <w:p w14:paraId="4E45F77F" w14:textId="7D286DEF" w:rsidR="003C0629" w:rsidRDefault="005D5E1E" w:rsidP="00E85520">
      <w:pPr>
        <w:widowControl w:val="0"/>
        <w:autoSpaceDE w:val="0"/>
        <w:autoSpaceDN w:val="0"/>
        <w:adjustRightInd w:val="0"/>
        <w:spacing w:line="240" w:lineRule="auto"/>
        <w:rPr>
          <w:color w:val="000000" w:themeColor="text1"/>
        </w:rPr>
      </w:pPr>
      <w:r>
        <w:rPr>
          <w:color w:val="000000" w:themeColor="text1"/>
        </w:rPr>
        <w:t xml:space="preserve">Varje år inhämtar </w:t>
      </w:r>
      <w:r w:rsidR="004A488C" w:rsidRPr="00E85520">
        <w:rPr>
          <w:color w:val="000000" w:themeColor="text1"/>
        </w:rPr>
        <w:t>Socialstyrelsen siffror från landstingen över antalet dödfödda barn</w:t>
      </w:r>
      <w:r w:rsidR="004A488C" w:rsidRPr="00E85520">
        <w:rPr>
          <w:rStyle w:val="Fotnotsreferens"/>
          <w:color w:val="000000" w:themeColor="text1"/>
        </w:rPr>
        <w:footnoteReference w:id="3"/>
      </w:r>
      <w:r w:rsidR="00C46ADF">
        <w:rPr>
          <w:color w:val="000000" w:themeColor="text1"/>
        </w:rPr>
        <w:t>.</w:t>
      </w:r>
      <w:r w:rsidR="004A488C" w:rsidRPr="00E85520">
        <w:rPr>
          <w:color w:val="000000" w:themeColor="text1"/>
        </w:rPr>
        <w:t xml:space="preserve"> </w:t>
      </w:r>
      <w:r w:rsidR="003C0629" w:rsidRPr="00E85520">
        <w:rPr>
          <w:rStyle w:val="s1"/>
          <w:color w:val="000000" w:themeColor="text1"/>
        </w:rPr>
        <w:t xml:space="preserve">För barn som dör i samband med eller efter förlossningen finns en strukturerad kartläggning och uppföljning. Men tyvärr saknas </w:t>
      </w:r>
      <w:r w:rsidR="003C0629" w:rsidRPr="00E85520">
        <w:rPr>
          <w:color w:val="000000" w:themeColor="text1"/>
        </w:rPr>
        <w:t xml:space="preserve">en motsvarande nationell kartläggning och samordning av fall med dödfödda barn. </w:t>
      </w:r>
    </w:p>
    <w:p w14:paraId="31BFF371" w14:textId="2D4D4254" w:rsidR="003C0629" w:rsidRDefault="004A488C" w:rsidP="00E85520">
      <w:pPr>
        <w:widowControl w:val="0"/>
        <w:autoSpaceDE w:val="0"/>
        <w:autoSpaceDN w:val="0"/>
        <w:adjustRightInd w:val="0"/>
        <w:spacing w:line="240" w:lineRule="auto"/>
        <w:rPr>
          <w:color w:val="000000" w:themeColor="text1"/>
        </w:rPr>
      </w:pPr>
      <w:r w:rsidRPr="00E85520">
        <w:rPr>
          <w:color w:val="000000" w:themeColor="text1"/>
        </w:rPr>
        <w:t xml:space="preserve">Spädbarnsfonden </w:t>
      </w:r>
      <w:r w:rsidR="000D4F18" w:rsidRPr="00E85520">
        <w:rPr>
          <w:color w:val="000000" w:themeColor="text1"/>
        </w:rPr>
        <w:t xml:space="preserve">anser att det behöv en </w:t>
      </w:r>
      <w:r w:rsidR="005D5E1E">
        <w:rPr>
          <w:color w:val="000000" w:themeColor="text1"/>
        </w:rPr>
        <w:t xml:space="preserve">nationell </w:t>
      </w:r>
      <w:r w:rsidR="00477430">
        <w:rPr>
          <w:color w:val="000000" w:themeColor="text1"/>
        </w:rPr>
        <w:t xml:space="preserve">analys </w:t>
      </w:r>
      <w:r w:rsidR="000D4F18" w:rsidRPr="00E85520">
        <w:rPr>
          <w:color w:val="000000" w:themeColor="text1"/>
        </w:rPr>
        <w:t>av</w:t>
      </w:r>
      <w:r w:rsidRPr="00E85520">
        <w:rPr>
          <w:color w:val="000000" w:themeColor="text1"/>
        </w:rPr>
        <w:t xml:space="preserve"> orsaker och händelseför</w:t>
      </w:r>
      <w:r w:rsidR="000D4F18" w:rsidRPr="00E85520">
        <w:rPr>
          <w:color w:val="000000" w:themeColor="text1"/>
        </w:rPr>
        <w:t>lopp vid varje enskilt dödsfall</w:t>
      </w:r>
      <w:r w:rsidR="003C0629">
        <w:rPr>
          <w:color w:val="000000" w:themeColor="text1"/>
        </w:rPr>
        <w:t xml:space="preserve"> av barn som dör i sin mammas mage</w:t>
      </w:r>
      <w:r w:rsidR="000D4F18" w:rsidRPr="00E85520">
        <w:rPr>
          <w:color w:val="000000" w:themeColor="text1"/>
        </w:rPr>
        <w:t xml:space="preserve">. </w:t>
      </w:r>
      <w:r w:rsidR="003C0629">
        <w:rPr>
          <w:color w:val="000000" w:themeColor="text1"/>
        </w:rPr>
        <w:t xml:space="preserve">Syftet med en </w:t>
      </w:r>
      <w:r w:rsidR="000D4F18" w:rsidRPr="00E85520">
        <w:rPr>
          <w:color w:val="000000" w:themeColor="text1"/>
        </w:rPr>
        <w:t xml:space="preserve">nationell </w:t>
      </w:r>
      <w:r w:rsidR="003C0629">
        <w:rPr>
          <w:color w:val="000000" w:themeColor="text1"/>
        </w:rPr>
        <w:t>analys</w:t>
      </w:r>
      <w:r w:rsidR="000D4F18" w:rsidRPr="00E85520">
        <w:rPr>
          <w:color w:val="000000" w:themeColor="text1"/>
        </w:rPr>
        <w:t xml:space="preserve"> </w:t>
      </w:r>
      <w:r w:rsidR="003C0629">
        <w:rPr>
          <w:color w:val="000000" w:themeColor="text1"/>
        </w:rPr>
        <w:t xml:space="preserve">är att ta fram ett </w:t>
      </w:r>
      <w:r w:rsidR="003C0629" w:rsidRPr="00E85520">
        <w:rPr>
          <w:color w:val="000000" w:themeColor="text1"/>
        </w:rPr>
        <w:t>kunskapsunderlag som kan användas för framtida åtgärder och förebygga dödsfall.</w:t>
      </w:r>
      <w:r w:rsidR="003C0629">
        <w:rPr>
          <w:color w:val="000000" w:themeColor="text1"/>
        </w:rPr>
        <w:t xml:space="preserve"> Analysen bör också belysa regionala avvikelser och variationen av dödstal inom landet. </w:t>
      </w:r>
    </w:p>
    <w:p w14:paraId="761BC8B1" w14:textId="77777777" w:rsidR="003C0629" w:rsidRDefault="004A488C" w:rsidP="003C0629">
      <w:pPr>
        <w:widowControl w:val="0"/>
        <w:autoSpaceDE w:val="0"/>
        <w:autoSpaceDN w:val="0"/>
        <w:adjustRightInd w:val="0"/>
        <w:spacing w:line="240" w:lineRule="auto"/>
        <w:rPr>
          <w:color w:val="000000" w:themeColor="text1"/>
        </w:rPr>
      </w:pPr>
      <w:r w:rsidRPr="00E85520">
        <w:rPr>
          <w:color w:val="000000" w:themeColor="text1"/>
        </w:rPr>
        <w:t xml:space="preserve">En nationell </w:t>
      </w:r>
      <w:r w:rsidR="003C0629">
        <w:rPr>
          <w:color w:val="000000" w:themeColor="text1"/>
        </w:rPr>
        <w:t xml:space="preserve">analys bör arbetas fram av en expertpanel som exempelvis kan bestå av </w:t>
      </w:r>
      <w:r w:rsidR="003C0629" w:rsidRPr="00E85520">
        <w:rPr>
          <w:color w:val="000000" w:themeColor="text1"/>
        </w:rPr>
        <w:t xml:space="preserve">gynekologer, obstetriker, pediatriker, barnmorskor och representanter för föräldraorganisationer. </w:t>
      </w:r>
      <w:r w:rsidR="003C0629">
        <w:rPr>
          <w:color w:val="000000" w:themeColor="text1"/>
        </w:rPr>
        <w:t>Arbetet kan g</w:t>
      </w:r>
      <w:r w:rsidRPr="00E85520">
        <w:rPr>
          <w:color w:val="000000" w:themeColor="text1"/>
        </w:rPr>
        <w:t>enomföras genom att mödrahälsovårds- och förlossningsjournaler för alla dödsfall granskas</w:t>
      </w:r>
      <w:r w:rsidR="00BC25B4" w:rsidRPr="00E85520">
        <w:rPr>
          <w:color w:val="000000" w:themeColor="text1"/>
        </w:rPr>
        <w:t xml:space="preserve">. </w:t>
      </w:r>
      <w:r w:rsidRPr="00E85520">
        <w:rPr>
          <w:color w:val="000000" w:themeColor="text1"/>
        </w:rPr>
        <w:t xml:space="preserve">Dödsfallen bör klassificeras dels utifrån möjliga att undvika och dels inte möjliga att undvika. </w:t>
      </w:r>
    </w:p>
    <w:p w14:paraId="3F8B693F" w14:textId="22EF2CC8" w:rsidR="004A488C" w:rsidRPr="00E85520" w:rsidRDefault="004A488C" w:rsidP="003C0629">
      <w:pPr>
        <w:widowControl w:val="0"/>
        <w:autoSpaceDE w:val="0"/>
        <w:autoSpaceDN w:val="0"/>
        <w:adjustRightInd w:val="0"/>
        <w:spacing w:line="240" w:lineRule="auto"/>
        <w:rPr>
          <w:color w:val="000000" w:themeColor="text1"/>
        </w:rPr>
      </w:pPr>
      <w:r w:rsidRPr="00E85520">
        <w:rPr>
          <w:color w:val="000000" w:themeColor="text1"/>
        </w:rPr>
        <w:t xml:space="preserve">Spädbarnsfonden anser att regeringen bör ge Socialstyrelsen i uppdrag att </w:t>
      </w:r>
      <w:r w:rsidR="00BC25B4" w:rsidRPr="00E85520">
        <w:rPr>
          <w:color w:val="000000" w:themeColor="text1"/>
        </w:rPr>
        <w:t xml:space="preserve">under ett år genomföra en nationell </w:t>
      </w:r>
      <w:r w:rsidR="003C0629">
        <w:rPr>
          <w:color w:val="000000" w:themeColor="text1"/>
        </w:rPr>
        <w:t>analys</w:t>
      </w:r>
      <w:r w:rsidR="00BC25B4" w:rsidRPr="00E85520">
        <w:rPr>
          <w:color w:val="000000" w:themeColor="text1"/>
        </w:rPr>
        <w:t xml:space="preserve"> över spädbarnsdödligheten i Sv</w:t>
      </w:r>
      <w:r w:rsidR="003C0629">
        <w:rPr>
          <w:color w:val="000000" w:themeColor="text1"/>
        </w:rPr>
        <w:t>erige för att på sikt kunna vidta åtgärder för minskade dödstal.</w:t>
      </w:r>
    </w:p>
    <w:p w14:paraId="62517EDC" w14:textId="77777777" w:rsidR="004A488C" w:rsidRPr="00E85520" w:rsidRDefault="004A488C" w:rsidP="00E85520">
      <w:pPr>
        <w:spacing w:line="240" w:lineRule="auto"/>
        <w:rPr>
          <w:color w:val="000000" w:themeColor="text1"/>
        </w:rPr>
      </w:pPr>
    </w:p>
    <w:p w14:paraId="6B7CAA1E" w14:textId="0C8C9A2E" w:rsidR="004A488C" w:rsidRPr="00E85520" w:rsidRDefault="004A488C" w:rsidP="00E85520">
      <w:pPr>
        <w:pStyle w:val="Brdtext"/>
        <w:widowControl w:val="0"/>
        <w:numPr>
          <w:ilvl w:val="0"/>
          <w:numId w:val="1"/>
        </w:numPr>
        <w:autoSpaceDE w:val="0"/>
        <w:autoSpaceDN w:val="0"/>
        <w:adjustRightInd w:val="0"/>
        <w:spacing w:line="240" w:lineRule="auto"/>
        <w:rPr>
          <w:rFonts w:asciiTheme="minorHAnsi" w:eastAsia="System Font" w:hAnsiTheme="minorHAnsi"/>
          <w:b/>
          <w:color w:val="000000" w:themeColor="text1"/>
          <w:sz w:val="22"/>
          <w:szCs w:val="22"/>
          <w:lang w:eastAsia="en-US"/>
        </w:rPr>
      </w:pPr>
      <w:r w:rsidRPr="00E85520">
        <w:rPr>
          <w:rFonts w:asciiTheme="minorHAnsi" w:hAnsiTheme="minorHAnsi" w:cs="Calibri"/>
          <w:b/>
          <w:sz w:val="22"/>
          <w:szCs w:val="22"/>
        </w:rPr>
        <w:t xml:space="preserve">Utred varför färre barn dör </w:t>
      </w:r>
      <w:r w:rsidR="00BC25B4" w:rsidRPr="00E85520">
        <w:rPr>
          <w:rFonts w:asciiTheme="minorHAnsi" w:hAnsiTheme="minorHAnsi" w:cs="Calibri"/>
          <w:b/>
          <w:sz w:val="22"/>
          <w:szCs w:val="22"/>
        </w:rPr>
        <w:t>i våra grannländer</w:t>
      </w:r>
    </w:p>
    <w:p w14:paraId="289725D4" w14:textId="77777777" w:rsidR="004A488C" w:rsidRPr="00E85520" w:rsidRDefault="004A488C" w:rsidP="00E85520">
      <w:pPr>
        <w:pStyle w:val="Brdtext"/>
        <w:widowControl w:val="0"/>
        <w:autoSpaceDE w:val="0"/>
        <w:autoSpaceDN w:val="0"/>
        <w:adjustRightInd w:val="0"/>
        <w:spacing w:line="240" w:lineRule="auto"/>
        <w:rPr>
          <w:rFonts w:asciiTheme="minorHAnsi" w:hAnsiTheme="minorHAnsi" w:cs="Calibri"/>
          <w:b/>
          <w:sz w:val="22"/>
          <w:szCs w:val="22"/>
        </w:rPr>
      </w:pPr>
    </w:p>
    <w:p w14:paraId="1DCDB1E5" w14:textId="6BF73C55" w:rsidR="003C0629" w:rsidRDefault="003C0629" w:rsidP="003C0629">
      <w:pPr>
        <w:pStyle w:val="Brdtext"/>
        <w:widowControl w:val="0"/>
        <w:autoSpaceDE w:val="0"/>
        <w:autoSpaceDN w:val="0"/>
        <w:adjustRightInd w:val="0"/>
        <w:spacing w:line="240" w:lineRule="auto"/>
        <w:rPr>
          <w:rFonts w:asciiTheme="minorHAnsi" w:hAnsiTheme="minorHAnsi"/>
          <w:color w:val="000000" w:themeColor="text1"/>
          <w:sz w:val="22"/>
          <w:szCs w:val="22"/>
        </w:rPr>
      </w:pPr>
      <w:r w:rsidRPr="00E85520">
        <w:rPr>
          <w:rFonts w:asciiTheme="minorHAnsi" w:hAnsiTheme="minorHAnsi"/>
          <w:color w:val="000000" w:themeColor="text1"/>
          <w:sz w:val="22"/>
          <w:szCs w:val="22"/>
        </w:rPr>
        <w:t>Internationell forskning visar på en stor variation mellan dödfödda barn inom höginkomstländer. Länder som har lägre dödstal än Sverige per 1000 födslar är Island, Danmark, Finland, Nederländerna, Norge, Portugal, Japan, Kroatien, Polen, Tyskland, Nya Zeeland, Tjeckien, Australien och Irland</w:t>
      </w:r>
      <w:r w:rsidRPr="00E85520">
        <w:rPr>
          <w:rStyle w:val="Fotnotsreferens"/>
          <w:rFonts w:asciiTheme="minorHAnsi" w:hAnsiTheme="minorHAnsi"/>
          <w:color w:val="000000" w:themeColor="text1"/>
          <w:sz w:val="22"/>
          <w:szCs w:val="22"/>
        </w:rPr>
        <w:footnoteReference w:id="4"/>
      </w:r>
      <w:r w:rsidRPr="00E85520">
        <w:rPr>
          <w:rFonts w:asciiTheme="minorHAnsi" w:hAnsiTheme="minorHAnsi"/>
          <w:color w:val="000000" w:themeColor="text1"/>
          <w:sz w:val="22"/>
          <w:szCs w:val="22"/>
        </w:rPr>
        <w:t xml:space="preserve">. </w:t>
      </w:r>
    </w:p>
    <w:p w14:paraId="48786DDA" w14:textId="77777777" w:rsidR="003C0629" w:rsidRPr="00E85520" w:rsidRDefault="003C0629" w:rsidP="003C0629">
      <w:pPr>
        <w:pStyle w:val="Brdtext"/>
        <w:widowControl w:val="0"/>
        <w:autoSpaceDE w:val="0"/>
        <w:autoSpaceDN w:val="0"/>
        <w:adjustRightInd w:val="0"/>
        <w:spacing w:line="240" w:lineRule="auto"/>
        <w:rPr>
          <w:rFonts w:asciiTheme="minorHAnsi" w:hAnsiTheme="minorHAnsi"/>
          <w:color w:val="000000" w:themeColor="text1"/>
          <w:sz w:val="22"/>
          <w:szCs w:val="22"/>
        </w:rPr>
      </w:pPr>
    </w:p>
    <w:p w14:paraId="0903A17E" w14:textId="1DA84A66" w:rsidR="00BC25B4" w:rsidRDefault="0069093B" w:rsidP="00E85520">
      <w:pPr>
        <w:pStyle w:val="Brdtext"/>
        <w:widowControl w:val="0"/>
        <w:autoSpaceDE w:val="0"/>
        <w:autoSpaceDN w:val="0"/>
        <w:adjustRightInd w:val="0"/>
        <w:spacing w:line="240"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Det saknas kunskap om varför </w:t>
      </w:r>
      <w:r w:rsidR="00BC25B4" w:rsidRPr="00E85520">
        <w:rPr>
          <w:rFonts w:asciiTheme="minorHAnsi" w:hAnsiTheme="minorHAnsi"/>
          <w:color w:val="000000" w:themeColor="text1"/>
          <w:sz w:val="22"/>
          <w:szCs w:val="22"/>
        </w:rPr>
        <w:t>Danmark</w:t>
      </w:r>
      <w:r>
        <w:rPr>
          <w:rFonts w:asciiTheme="minorHAnsi" w:hAnsiTheme="minorHAnsi"/>
          <w:color w:val="000000" w:themeColor="text1"/>
          <w:sz w:val="22"/>
          <w:szCs w:val="22"/>
        </w:rPr>
        <w:t>, Norge</w:t>
      </w:r>
      <w:r w:rsidR="00766114">
        <w:rPr>
          <w:rFonts w:asciiTheme="minorHAnsi" w:hAnsiTheme="minorHAnsi"/>
          <w:color w:val="000000" w:themeColor="text1"/>
          <w:sz w:val="22"/>
          <w:szCs w:val="22"/>
        </w:rPr>
        <w:t>, Finland</w:t>
      </w:r>
      <w:r>
        <w:rPr>
          <w:rFonts w:asciiTheme="minorHAnsi" w:hAnsiTheme="minorHAnsi"/>
          <w:color w:val="000000" w:themeColor="text1"/>
          <w:sz w:val="22"/>
          <w:szCs w:val="22"/>
        </w:rPr>
        <w:t xml:space="preserve"> och I</w:t>
      </w:r>
      <w:r w:rsidR="00BC25B4" w:rsidRPr="00E85520">
        <w:rPr>
          <w:rFonts w:asciiTheme="minorHAnsi" w:hAnsiTheme="minorHAnsi"/>
          <w:color w:val="000000" w:themeColor="text1"/>
          <w:sz w:val="22"/>
          <w:szCs w:val="22"/>
        </w:rPr>
        <w:t>sland</w:t>
      </w:r>
      <w:r>
        <w:rPr>
          <w:rFonts w:asciiTheme="minorHAnsi" w:hAnsiTheme="minorHAnsi"/>
          <w:color w:val="000000" w:themeColor="text1"/>
          <w:sz w:val="22"/>
          <w:szCs w:val="22"/>
        </w:rPr>
        <w:t xml:space="preserve"> har färre dödfödda barn än Sverige.</w:t>
      </w:r>
      <w:r w:rsidR="00C46ADF">
        <w:rPr>
          <w:rFonts w:asciiTheme="minorHAnsi" w:hAnsiTheme="minorHAnsi"/>
          <w:color w:val="000000" w:themeColor="text1"/>
          <w:sz w:val="22"/>
          <w:szCs w:val="22"/>
        </w:rPr>
        <w:t xml:space="preserve"> De nordiska länderna har </w:t>
      </w:r>
      <w:r>
        <w:rPr>
          <w:rFonts w:asciiTheme="minorHAnsi" w:hAnsiTheme="minorHAnsi"/>
          <w:color w:val="000000" w:themeColor="text1"/>
          <w:sz w:val="22"/>
          <w:szCs w:val="22"/>
        </w:rPr>
        <w:t xml:space="preserve">liknande levnadsvillkor </w:t>
      </w:r>
      <w:r w:rsidR="00C46ADF">
        <w:rPr>
          <w:rFonts w:asciiTheme="minorHAnsi" w:hAnsiTheme="minorHAnsi"/>
          <w:color w:val="000000" w:themeColor="text1"/>
          <w:sz w:val="22"/>
          <w:szCs w:val="22"/>
        </w:rPr>
        <w:t>och</w:t>
      </w:r>
      <w:r>
        <w:rPr>
          <w:rFonts w:asciiTheme="minorHAnsi" w:hAnsiTheme="minorHAnsi"/>
          <w:color w:val="000000" w:themeColor="text1"/>
          <w:sz w:val="22"/>
          <w:szCs w:val="22"/>
        </w:rPr>
        <w:t xml:space="preserve"> </w:t>
      </w:r>
      <w:r w:rsidR="002D4FAD">
        <w:rPr>
          <w:rFonts w:asciiTheme="minorHAnsi" w:hAnsiTheme="minorHAnsi"/>
          <w:color w:val="000000" w:themeColor="text1"/>
          <w:sz w:val="22"/>
          <w:szCs w:val="22"/>
        </w:rPr>
        <w:t xml:space="preserve">välfärdstjänster. Det vore därför av stor betydelse att </w:t>
      </w:r>
      <w:r w:rsidR="004C31D4">
        <w:rPr>
          <w:rFonts w:asciiTheme="minorHAnsi" w:hAnsiTheme="minorHAnsi"/>
          <w:color w:val="000000" w:themeColor="text1"/>
          <w:sz w:val="22"/>
          <w:szCs w:val="22"/>
        </w:rPr>
        <w:t xml:space="preserve">utreda skillnaderna i dödstal </w:t>
      </w:r>
      <w:r w:rsidR="002D4FAD">
        <w:rPr>
          <w:rFonts w:asciiTheme="minorHAnsi" w:hAnsiTheme="minorHAnsi"/>
          <w:color w:val="000000" w:themeColor="text1"/>
          <w:sz w:val="22"/>
          <w:szCs w:val="22"/>
        </w:rPr>
        <w:t>mellan de nordiska länderna i syfte att ge</w:t>
      </w:r>
      <w:r w:rsidR="004C31D4">
        <w:rPr>
          <w:rFonts w:asciiTheme="minorHAnsi" w:hAnsiTheme="minorHAnsi"/>
          <w:color w:val="000000" w:themeColor="text1"/>
          <w:sz w:val="22"/>
          <w:szCs w:val="22"/>
        </w:rPr>
        <w:t xml:space="preserve"> kunskap om vad som skulle kunna minska dödstalen i Sverige. </w:t>
      </w:r>
    </w:p>
    <w:p w14:paraId="3D7AA018" w14:textId="77777777" w:rsidR="003C0629" w:rsidRPr="00E85520" w:rsidRDefault="003C0629" w:rsidP="00E85520">
      <w:pPr>
        <w:pStyle w:val="Brdtext"/>
        <w:widowControl w:val="0"/>
        <w:autoSpaceDE w:val="0"/>
        <w:autoSpaceDN w:val="0"/>
        <w:adjustRightInd w:val="0"/>
        <w:spacing w:line="240" w:lineRule="auto"/>
        <w:rPr>
          <w:rFonts w:asciiTheme="minorHAnsi" w:eastAsia="System Font" w:hAnsiTheme="minorHAnsi"/>
          <w:color w:val="000000" w:themeColor="text1"/>
          <w:sz w:val="22"/>
          <w:szCs w:val="22"/>
          <w:lang w:eastAsia="en-US"/>
        </w:rPr>
      </w:pPr>
    </w:p>
    <w:p w14:paraId="4C95BF82" w14:textId="537A980D" w:rsidR="003C0629" w:rsidRDefault="002D4FAD" w:rsidP="00E85520">
      <w:pPr>
        <w:shd w:val="clear" w:color="auto" w:fill="FFFFFF"/>
        <w:spacing w:line="240" w:lineRule="auto"/>
        <w:rPr>
          <w:color w:val="000000" w:themeColor="text1"/>
        </w:rPr>
      </w:pPr>
      <w:r w:rsidRPr="00E85520">
        <w:rPr>
          <w:color w:val="000000" w:themeColor="text1"/>
        </w:rPr>
        <w:t>Lägre dödstal i andra länder visar på att fler barn i Sverige kan räddas.</w:t>
      </w:r>
      <w:r>
        <w:rPr>
          <w:color w:val="000000" w:themeColor="text1"/>
        </w:rPr>
        <w:t xml:space="preserve"> </w:t>
      </w:r>
      <w:r w:rsidR="00BC25B4" w:rsidRPr="00E85520">
        <w:rPr>
          <w:color w:val="000000" w:themeColor="text1"/>
        </w:rPr>
        <w:t xml:space="preserve">Spädbarnsfonden anser att regeringen bör ge Socialstyrelsen i uppdrag utreda </w:t>
      </w:r>
      <w:r w:rsidR="003C0629">
        <w:rPr>
          <w:color w:val="000000" w:themeColor="text1"/>
        </w:rPr>
        <w:t xml:space="preserve">skillnaderna i </w:t>
      </w:r>
      <w:r w:rsidR="004C31D4">
        <w:rPr>
          <w:color w:val="000000" w:themeColor="text1"/>
        </w:rPr>
        <w:t>dödfödda barn</w:t>
      </w:r>
      <w:r w:rsidR="003C0629">
        <w:rPr>
          <w:color w:val="000000" w:themeColor="text1"/>
        </w:rPr>
        <w:t xml:space="preserve"> mellan de nordiska länderna. </w:t>
      </w:r>
    </w:p>
    <w:p w14:paraId="2FDECB8F" w14:textId="77777777" w:rsidR="00EA702F" w:rsidRDefault="00EA702F" w:rsidP="00E85520">
      <w:pPr>
        <w:shd w:val="clear" w:color="auto" w:fill="FFFFFF"/>
        <w:spacing w:line="240" w:lineRule="auto"/>
        <w:rPr>
          <w:color w:val="000000" w:themeColor="text1"/>
        </w:rPr>
      </w:pPr>
    </w:p>
    <w:p w14:paraId="55B463EF" w14:textId="24566CBB" w:rsidR="00FF674B" w:rsidRPr="00FF674B" w:rsidRDefault="00EA702F" w:rsidP="00E85520">
      <w:pPr>
        <w:shd w:val="clear" w:color="auto" w:fill="FFFFFF"/>
        <w:spacing w:line="240" w:lineRule="auto"/>
        <w:rPr>
          <w:b/>
          <w:color w:val="000000" w:themeColor="text1"/>
        </w:rPr>
      </w:pPr>
      <w:r w:rsidRPr="00EA702F">
        <w:rPr>
          <w:b/>
          <w:color w:val="000000" w:themeColor="text1"/>
        </w:rPr>
        <w:t>Statistik</w:t>
      </w:r>
    </w:p>
    <w:p w14:paraId="73285E4F" w14:textId="53B22ADB" w:rsidR="00C159FA" w:rsidRPr="00FF674B" w:rsidRDefault="00EA702F" w:rsidP="00E85520">
      <w:pPr>
        <w:shd w:val="clear" w:color="auto" w:fill="FFFFFF"/>
        <w:spacing w:line="240" w:lineRule="auto"/>
        <w:rPr>
          <w:i/>
          <w:color w:val="000000" w:themeColor="text1"/>
        </w:rPr>
      </w:pPr>
      <w:r w:rsidRPr="00FF674B">
        <w:rPr>
          <w:i/>
          <w:color w:val="000000" w:themeColor="text1"/>
        </w:rPr>
        <w:t xml:space="preserve">Antalet dödfödda barn i Sverige åren </w:t>
      </w:r>
      <w:proofErr w:type="gramStart"/>
      <w:r w:rsidRPr="00FF674B">
        <w:rPr>
          <w:i/>
          <w:color w:val="000000" w:themeColor="text1"/>
        </w:rPr>
        <w:t>2010-2015</w:t>
      </w:r>
      <w:proofErr w:type="gramEnd"/>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5"/>
        <w:gridCol w:w="1295"/>
        <w:gridCol w:w="1295"/>
        <w:gridCol w:w="1295"/>
      </w:tblGrid>
      <w:tr w:rsidR="00EA702F" w:rsidRPr="00EA702F" w14:paraId="1A3AF61A" w14:textId="77777777" w:rsidTr="00580F24">
        <w:trPr>
          <w:trHeight w:val="456"/>
        </w:trPr>
        <w:tc>
          <w:tcPr>
            <w:tcW w:w="1294" w:type="dxa"/>
          </w:tcPr>
          <w:p w14:paraId="129B5532" w14:textId="77777777" w:rsidR="00EA702F" w:rsidRPr="00EA702F" w:rsidRDefault="00EA702F" w:rsidP="00E85520">
            <w:pPr>
              <w:spacing w:line="240" w:lineRule="auto"/>
              <w:rPr>
                <w:b/>
                <w:color w:val="000000" w:themeColor="text1"/>
                <w:sz w:val="20"/>
                <w:szCs w:val="20"/>
              </w:rPr>
            </w:pPr>
          </w:p>
        </w:tc>
        <w:tc>
          <w:tcPr>
            <w:tcW w:w="1294" w:type="dxa"/>
          </w:tcPr>
          <w:p w14:paraId="6C202884" w14:textId="7AF22D23" w:rsidR="00EA702F" w:rsidRPr="00EA702F" w:rsidRDefault="00EA702F" w:rsidP="00E85520">
            <w:pPr>
              <w:spacing w:line="240" w:lineRule="auto"/>
              <w:rPr>
                <w:b/>
                <w:color w:val="000000" w:themeColor="text1"/>
                <w:sz w:val="20"/>
                <w:szCs w:val="20"/>
              </w:rPr>
            </w:pPr>
            <w:r w:rsidRPr="00EA702F">
              <w:rPr>
                <w:b/>
                <w:color w:val="000000" w:themeColor="text1"/>
                <w:sz w:val="20"/>
                <w:szCs w:val="20"/>
              </w:rPr>
              <w:t>2010</w:t>
            </w:r>
          </w:p>
        </w:tc>
        <w:tc>
          <w:tcPr>
            <w:tcW w:w="1294" w:type="dxa"/>
          </w:tcPr>
          <w:p w14:paraId="28BF497D" w14:textId="37BA8363" w:rsidR="00EA702F" w:rsidRPr="00EA702F" w:rsidRDefault="00EA702F" w:rsidP="00E85520">
            <w:pPr>
              <w:spacing w:line="240" w:lineRule="auto"/>
              <w:rPr>
                <w:b/>
                <w:color w:val="000000" w:themeColor="text1"/>
                <w:sz w:val="20"/>
                <w:szCs w:val="20"/>
              </w:rPr>
            </w:pPr>
            <w:r w:rsidRPr="00EA702F">
              <w:rPr>
                <w:b/>
                <w:color w:val="000000" w:themeColor="text1"/>
                <w:sz w:val="20"/>
                <w:szCs w:val="20"/>
              </w:rPr>
              <w:t>2011</w:t>
            </w:r>
          </w:p>
        </w:tc>
        <w:tc>
          <w:tcPr>
            <w:tcW w:w="1295" w:type="dxa"/>
          </w:tcPr>
          <w:p w14:paraId="4D730BDD" w14:textId="094F478F" w:rsidR="00EA702F" w:rsidRPr="00EA702F" w:rsidRDefault="00EA702F" w:rsidP="00E85520">
            <w:pPr>
              <w:spacing w:line="240" w:lineRule="auto"/>
              <w:rPr>
                <w:b/>
                <w:color w:val="000000" w:themeColor="text1"/>
                <w:sz w:val="20"/>
                <w:szCs w:val="20"/>
              </w:rPr>
            </w:pPr>
            <w:r w:rsidRPr="00EA702F">
              <w:rPr>
                <w:b/>
                <w:color w:val="000000" w:themeColor="text1"/>
                <w:sz w:val="20"/>
                <w:szCs w:val="20"/>
              </w:rPr>
              <w:t>2012</w:t>
            </w:r>
          </w:p>
        </w:tc>
        <w:tc>
          <w:tcPr>
            <w:tcW w:w="1295" w:type="dxa"/>
          </w:tcPr>
          <w:p w14:paraId="519AF3C0" w14:textId="4178DD37" w:rsidR="00EA702F" w:rsidRPr="00EA702F" w:rsidRDefault="00EA702F" w:rsidP="00E85520">
            <w:pPr>
              <w:spacing w:line="240" w:lineRule="auto"/>
              <w:rPr>
                <w:b/>
                <w:color w:val="000000" w:themeColor="text1"/>
                <w:sz w:val="20"/>
                <w:szCs w:val="20"/>
              </w:rPr>
            </w:pPr>
            <w:r w:rsidRPr="00EA702F">
              <w:rPr>
                <w:b/>
                <w:color w:val="000000" w:themeColor="text1"/>
                <w:sz w:val="20"/>
                <w:szCs w:val="20"/>
              </w:rPr>
              <w:t>2013</w:t>
            </w:r>
          </w:p>
        </w:tc>
        <w:tc>
          <w:tcPr>
            <w:tcW w:w="1295" w:type="dxa"/>
          </w:tcPr>
          <w:p w14:paraId="4085FE1E" w14:textId="54CB5D86" w:rsidR="00EA702F" w:rsidRPr="00EA702F" w:rsidRDefault="00EA702F" w:rsidP="00E85520">
            <w:pPr>
              <w:spacing w:line="240" w:lineRule="auto"/>
              <w:rPr>
                <w:b/>
                <w:color w:val="000000" w:themeColor="text1"/>
                <w:sz w:val="20"/>
                <w:szCs w:val="20"/>
              </w:rPr>
            </w:pPr>
            <w:r w:rsidRPr="00EA702F">
              <w:rPr>
                <w:b/>
                <w:color w:val="000000" w:themeColor="text1"/>
                <w:sz w:val="20"/>
                <w:szCs w:val="20"/>
              </w:rPr>
              <w:t>2014</w:t>
            </w:r>
          </w:p>
        </w:tc>
        <w:tc>
          <w:tcPr>
            <w:tcW w:w="1295" w:type="dxa"/>
          </w:tcPr>
          <w:p w14:paraId="6F7297EB" w14:textId="18CFAFA7" w:rsidR="00EA702F" w:rsidRPr="00EA702F" w:rsidRDefault="00EA702F" w:rsidP="00E85520">
            <w:pPr>
              <w:spacing w:line="240" w:lineRule="auto"/>
              <w:rPr>
                <w:b/>
                <w:color w:val="000000" w:themeColor="text1"/>
                <w:sz w:val="20"/>
                <w:szCs w:val="20"/>
              </w:rPr>
            </w:pPr>
            <w:r w:rsidRPr="00EA702F">
              <w:rPr>
                <w:b/>
                <w:color w:val="000000" w:themeColor="text1"/>
                <w:sz w:val="20"/>
                <w:szCs w:val="20"/>
              </w:rPr>
              <w:t>2015</w:t>
            </w:r>
          </w:p>
        </w:tc>
      </w:tr>
      <w:tr w:rsidR="00EA702F" w:rsidRPr="00EA702F" w14:paraId="28230CA0" w14:textId="77777777" w:rsidTr="00EA702F">
        <w:tc>
          <w:tcPr>
            <w:tcW w:w="1294" w:type="dxa"/>
          </w:tcPr>
          <w:p w14:paraId="6300144B" w14:textId="72926891" w:rsidR="00EA702F" w:rsidRPr="00EA702F" w:rsidRDefault="00EA702F" w:rsidP="00E85520">
            <w:pPr>
              <w:spacing w:line="240" w:lineRule="auto"/>
              <w:rPr>
                <w:b/>
                <w:color w:val="000000" w:themeColor="text1"/>
                <w:sz w:val="20"/>
                <w:szCs w:val="20"/>
              </w:rPr>
            </w:pPr>
            <w:r w:rsidRPr="00EA702F">
              <w:rPr>
                <w:b/>
                <w:color w:val="000000" w:themeColor="text1"/>
                <w:sz w:val="20"/>
                <w:szCs w:val="20"/>
              </w:rPr>
              <w:t>pojkar</w:t>
            </w:r>
          </w:p>
        </w:tc>
        <w:tc>
          <w:tcPr>
            <w:tcW w:w="1294" w:type="dxa"/>
          </w:tcPr>
          <w:p w14:paraId="15175AB7" w14:textId="67E74F9C" w:rsidR="00EA702F" w:rsidRPr="00EA702F" w:rsidRDefault="00EA702F" w:rsidP="00E85520">
            <w:pPr>
              <w:spacing w:line="240" w:lineRule="auto"/>
              <w:rPr>
                <w:color w:val="000000" w:themeColor="text1"/>
                <w:sz w:val="20"/>
                <w:szCs w:val="20"/>
              </w:rPr>
            </w:pPr>
            <w:r w:rsidRPr="00EA702F">
              <w:rPr>
                <w:color w:val="000000" w:themeColor="text1"/>
                <w:sz w:val="20"/>
                <w:szCs w:val="20"/>
              </w:rPr>
              <w:t>231</w:t>
            </w:r>
          </w:p>
        </w:tc>
        <w:tc>
          <w:tcPr>
            <w:tcW w:w="1294" w:type="dxa"/>
          </w:tcPr>
          <w:p w14:paraId="3BFFCD50" w14:textId="45FAA998" w:rsidR="00EA702F" w:rsidRPr="00EA702F" w:rsidRDefault="00EA702F" w:rsidP="00E85520">
            <w:pPr>
              <w:spacing w:line="240" w:lineRule="auto"/>
              <w:rPr>
                <w:color w:val="000000" w:themeColor="text1"/>
                <w:sz w:val="20"/>
                <w:szCs w:val="20"/>
              </w:rPr>
            </w:pPr>
            <w:r w:rsidRPr="00EA702F">
              <w:rPr>
                <w:color w:val="000000" w:themeColor="text1"/>
                <w:sz w:val="20"/>
                <w:szCs w:val="20"/>
              </w:rPr>
              <w:t>227</w:t>
            </w:r>
          </w:p>
        </w:tc>
        <w:tc>
          <w:tcPr>
            <w:tcW w:w="1295" w:type="dxa"/>
          </w:tcPr>
          <w:p w14:paraId="5F743DB1" w14:textId="26060DE6" w:rsidR="00EA702F" w:rsidRPr="00EA702F" w:rsidRDefault="00EA702F" w:rsidP="00E85520">
            <w:pPr>
              <w:spacing w:line="240" w:lineRule="auto"/>
              <w:rPr>
                <w:color w:val="000000" w:themeColor="text1"/>
                <w:sz w:val="20"/>
                <w:szCs w:val="20"/>
              </w:rPr>
            </w:pPr>
            <w:r w:rsidRPr="00EA702F">
              <w:rPr>
                <w:color w:val="000000" w:themeColor="text1"/>
                <w:sz w:val="20"/>
                <w:szCs w:val="20"/>
              </w:rPr>
              <w:t>230</w:t>
            </w:r>
          </w:p>
        </w:tc>
        <w:tc>
          <w:tcPr>
            <w:tcW w:w="1295" w:type="dxa"/>
          </w:tcPr>
          <w:p w14:paraId="096FA205" w14:textId="0DDE4F60" w:rsidR="00EA702F" w:rsidRPr="00EA702F" w:rsidRDefault="00EA702F" w:rsidP="00E85520">
            <w:pPr>
              <w:spacing w:line="240" w:lineRule="auto"/>
              <w:rPr>
                <w:color w:val="000000" w:themeColor="text1"/>
                <w:sz w:val="20"/>
                <w:szCs w:val="20"/>
              </w:rPr>
            </w:pPr>
            <w:r w:rsidRPr="00EA702F">
              <w:rPr>
                <w:color w:val="000000" w:themeColor="text1"/>
                <w:sz w:val="20"/>
                <w:szCs w:val="20"/>
              </w:rPr>
              <w:t>212</w:t>
            </w:r>
          </w:p>
        </w:tc>
        <w:tc>
          <w:tcPr>
            <w:tcW w:w="1295" w:type="dxa"/>
          </w:tcPr>
          <w:p w14:paraId="1AA750D1" w14:textId="38A6B280" w:rsidR="00EA702F" w:rsidRPr="00EA702F" w:rsidRDefault="00EA702F" w:rsidP="00E85520">
            <w:pPr>
              <w:spacing w:line="240" w:lineRule="auto"/>
              <w:rPr>
                <w:color w:val="000000" w:themeColor="text1"/>
                <w:sz w:val="20"/>
                <w:szCs w:val="20"/>
              </w:rPr>
            </w:pPr>
            <w:r w:rsidRPr="00EA702F">
              <w:rPr>
                <w:color w:val="000000" w:themeColor="text1"/>
                <w:sz w:val="20"/>
                <w:szCs w:val="20"/>
              </w:rPr>
              <w:t>237</w:t>
            </w:r>
          </w:p>
        </w:tc>
        <w:tc>
          <w:tcPr>
            <w:tcW w:w="1295" w:type="dxa"/>
          </w:tcPr>
          <w:p w14:paraId="1FD421D8" w14:textId="0EDFB707" w:rsidR="00EA702F" w:rsidRPr="00EA702F" w:rsidRDefault="00EA702F" w:rsidP="00E85520">
            <w:pPr>
              <w:spacing w:line="240" w:lineRule="auto"/>
              <w:rPr>
                <w:color w:val="000000" w:themeColor="text1"/>
                <w:sz w:val="20"/>
                <w:szCs w:val="20"/>
              </w:rPr>
            </w:pPr>
            <w:r w:rsidRPr="00EA702F">
              <w:rPr>
                <w:color w:val="000000" w:themeColor="text1"/>
                <w:sz w:val="20"/>
                <w:szCs w:val="20"/>
              </w:rPr>
              <w:t>208</w:t>
            </w:r>
          </w:p>
        </w:tc>
      </w:tr>
      <w:tr w:rsidR="00EA702F" w:rsidRPr="00EA702F" w14:paraId="4D9586E3" w14:textId="77777777" w:rsidTr="00EA702F">
        <w:tc>
          <w:tcPr>
            <w:tcW w:w="1294" w:type="dxa"/>
          </w:tcPr>
          <w:p w14:paraId="63A80F98" w14:textId="75C266C7" w:rsidR="00EA702F" w:rsidRPr="00EA702F" w:rsidRDefault="00EA702F" w:rsidP="00E85520">
            <w:pPr>
              <w:spacing w:line="240" w:lineRule="auto"/>
              <w:rPr>
                <w:b/>
                <w:color w:val="000000" w:themeColor="text1"/>
                <w:sz w:val="20"/>
                <w:szCs w:val="20"/>
              </w:rPr>
            </w:pPr>
            <w:r w:rsidRPr="00EA702F">
              <w:rPr>
                <w:b/>
                <w:color w:val="000000" w:themeColor="text1"/>
                <w:sz w:val="20"/>
                <w:szCs w:val="20"/>
              </w:rPr>
              <w:t>flickor</w:t>
            </w:r>
          </w:p>
        </w:tc>
        <w:tc>
          <w:tcPr>
            <w:tcW w:w="1294" w:type="dxa"/>
          </w:tcPr>
          <w:p w14:paraId="416B2045" w14:textId="2FE5F5D4" w:rsidR="00EA702F" w:rsidRPr="00EA702F" w:rsidRDefault="00EA702F" w:rsidP="00E85520">
            <w:pPr>
              <w:spacing w:line="240" w:lineRule="auto"/>
              <w:rPr>
                <w:color w:val="000000" w:themeColor="text1"/>
                <w:sz w:val="20"/>
                <w:szCs w:val="20"/>
              </w:rPr>
            </w:pPr>
            <w:r w:rsidRPr="00EA702F">
              <w:rPr>
                <w:color w:val="000000" w:themeColor="text1"/>
                <w:sz w:val="20"/>
                <w:szCs w:val="20"/>
              </w:rPr>
              <w:t>195</w:t>
            </w:r>
          </w:p>
        </w:tc>
        <w:tc>
          <w:tcPr>
            <w:tcW w:w="1294" w:type="dxa"/>
          </w:tcPr>
          <w:p w14:paraId="45C1E00A" w14:textId="3C48FDAB" w:rsidR="00EA702F" w:rsidRPr="00EA702F" w:rsidRDefault="00EA702F" w:rsidP="00E85520">
            <w:pPr>
              <w:spacing w:line="240" w:lineRule="auto"/>
              <w:rPr>
                <w:color w:val="000000" w:themeColor="text1"/>
                <w:sz w:val="20"/>
                <w:szCs w:val="20"/>
              </w:rPr>
            </w:pPr>
            <w:r w:rsidRPr="00EA702F">
              <w:rPr>
                <w:color w:val="000000" w:themeColor="text1"/>
                <w:sz w:val="20"/>
                <w:szCs w:val="20"/>
              </w:rPr>
              <w:t>202</w:t>
            </w:r>
          </w:p>
        </w:tc>
        <w:tc>
          <w:tcPr>
            <w:tcW w:w="1295" w:type="dxa"/>
          </w:tcPr>
          <w:p w14:paraId="39BCCBD4" w14:textId="514FFB2F" w:rsidR="00EA702F" w:rsidRPr="00EA702F" w:rsidRDefault="00EA702F" w:rsidP="00E85520">
            <w:pPr>
              <w:spacing w:line="240" w:lineRule="auto"/>
              <w:rPr>
                <w:color w:val="000000" w:themeColor="text1"/>
                <w:sz w:val="20"/>
                <w:szCs w:val="20"/>
              </w:rPr>
            </w:pPr>
            <w:r w:rsidRPr="00EA702F">
              <w:rPr>
                <w:color w:val="000000" w:themeColor="text1"/>
                <w:sz w:val="20"/>
                <w:szCs w:val="20"/>
              </w:rPr>
              <w:t>223</w:t>
            </w:r>
          </w:p>
        </w:tc>
        <w:tc>
          <w:tcPr>
            <w:tcW w:w="1295" w:type="dxa"/>
          </w:tcPr>
          <w:p w14:paraId="1AE468F2" w14:textId="2497BE6A" w:rsidR="00EA702F" w:rsidRPr="00EA702F" w:rsidRDefault="00EA702F" w:rsidP="00E85520">
            <w:pPr>
              <w:spacing w:line="240" w:lineRule="auto"/>
              <w:rPr>
                <w:color w:val="000000" w:themeColor="text1"/>
                <w:sz w:val="20"/>
                <w:szCs w:val="20"/>
              </w:rPr>
            </w:pPr>
            <w:r w:rsidRPr="00EA702F">
              <w:rPr>
                <w:color w:val="000000" w:themeColor="text1"/>
                <w:sz w:val="20"/>
                <w:szCs w:val="20"/>
              </w:rPr>
              <w:t>229</w:t>
            </w:r>
          </w:p>
        </w:tc>
        <w:tc>
          <w:tcPr>
            <w:tcW w:w="1295" w:type="dxa"/>
          </w:tcPr>
          <w:p w14:paraId="479AD917" w14:textId="6E1ABCD4" w:rsidR="00EA702F" w:rsidRPr="00EA702F" w:rsidRDefault="00EA702F" w:rsidP="00E85520">
            <w:pPr>
              <w:spacing w:line="240" w:lineRule="auto"/>
              <w:rPr>
                <w:color w:val="000000" w:themeColor="text1"/>
                <w:sz w:val="20"/>
                <w:szCs w:val="20"/>
              </w:rPr>
            </w:pPr>
            <w:r w:rsidRPr="00EA702F">
              <w:rPr>
                <w:color w:val="000000" w:themeColor="text1"/>
                <w:sz w:val="20"/>
                <w:szCs w:val="20"/>
              </w:rPr>
              <w:t>219</w:t>
            </w:r>
          </w:p>
        </w:tc>
        <w:tc>
          <w:tcPr>
            <w:tcW w:w="1295" w:type="dxa"/>
          </w:tcPr>
          <w:p w14:paraId="1A8724A5" w14:textId="377D4B6E" w:rsidR="00EA702F" w:rsidRPr="00EA702F" w:rsidRDefault="00EA702F" w:rsidP="00E85520">
            <w:pPr>
              <w:spacing w:line="240" w:lineRule="auto"/>
              <w:rPr>
                <w:color w:val="000000" w:themeColor="text1"/>
                <w:sz w:val="20"/>
                <w:szCs w:val="20"/>
              </w:rPr>
            </w:pPr>
            <w:r w:rsidRPr="00EA702F">
              <w:rPr>
                <w:color w:val="000000" w:themeColor="text1"/>
                <w:sz w:val="20"/>
                <w:szCs w:val="20"/>
              </w:rPr>
              <w:t>221</w:t>
            </w:r>
          </w:p>
        </w:tc>
      </w:tr>
      <w:tr w:rsidR="00EA702F" w:rsidRPr="00EA702F" w14:paraId="4306E7AA" w14:textId="77777777" w:rsidTr="00EA702F">
        <w:tc>
          <w:tcPr>
            <w:tcW w:w="1294" w:type="dxa"/>
          </w:tcPr>
          <w:p w14:paraId="7C648E19" w14:textId="3DEDD3E8" w:rsidR="00EA702F" w:rsidRPr="00EA702F" w:rsidRDefault="00EA702F" w:rsidP="00E85520">
            <w:pPr>
              <w:spacing w:line="240" w:lineRule="auto"/>
              <w:rPr>
                <w:b/>
                <w:color w:val="000000" w:themeColor="text1"/>
                <w:sz w:val="20"/>
                <w:szCs w:val="20"/>
              </w:rPr>
            </w:pPr>
            <w:r w:rsidRPr="00EA702F">
              <w:rPr>
                <w:b/>
                <w:color w:val="000000" w:themeColor="text1"/>
                <w:sz w:val="20"/>
                <w:szCs w:val="20"/>
              </w:rPr>
              <w:t>totalt</w:t>
            </w:r>
          </w:p>
        </w:tc>
        <w:tc>
          <w:tcPr>
            <w:tcW w:w="1294" w:type="dxa"/>
          </w:tcPr>
          <w:p w14:paraId="38AC5AE8" w14:textId="24149DE9" w:rsidR="00EA702F" w:rsidRPr="00EA702F" w:rsidRDefault="00EA702F" w:rsidP="00E85520">
            <w:pPr>
              <w:spacing w:line="240" w:lineRule="auto"/>
              <w:rPr>
                <w:color w:val="000000" w:themeColor="text1"/>
                <w:sz w:val="20"/>
                <w:szCs w:val="20"/>
              </w:rPr>
            </w:pPr>
            <w:r w:rsidRPr="00EA702F">
              <w:rPr>
                <w:color w:val="000000" w:themeColor="text1"/>
                <w:sz w:val="20"/>
                <w:szCs w:val="20"/>
              </w:rPr>
              <w:t>426</w:t>
            </w:r>
          </w:p>
        </w:tc>
        <w:tc>
          <w:tcPr>
            <w:tcW w:w="1294" w:type="dxa"/>
          </w:tcPr>
          <w:p w14:paraId="472839A4" w14:textId="57384D9B" w:rsidR="00EA702F" w:rsidRPr="00EA702F" w:rsidRDefault="00EA702F" w:rsidP="00E85520">
            <w:pPr>
              <w:spacing w:line="240" w:lineRule="auto"/>
              <w:rPr>
                <w:color w:val="000000" w:themeColor="text1"/>
                <w:sz w:val="20"/>
                <w:szCs w:val="20"/>
              </w:rPr>
            </w:pPr>
            <w:r w:rsidRPr="00EA702F">
              <w:rPr>
                <w:color w:val="000000" w:themeColor="text1"/>
                <w:sz w:val="20"/>
                <w:szCs w:val="20"/>
              </w:rPr>
              <w:t>429</w:t>
            </w:r>
          </w:p>
        </w:tc>
        <w:tc>
          <w:tcPr>
            <w:tcW w:w="1295" w:type="dxa"/>
          </w:tcPr>
          <w:p w14:paraId="6D382DBB" w14:textId="0464109F" w:rsidR="00EA702F" w:rsidRPr="00EA702F" w:rsidRDefault="00EA702F" w:rsidP="00E85520">
            <w:pPr>
              <w:spacing w:line="240" w:lineRule="auto"/>
              <w:rPr>
                <w:color w:val="000000" w:themeColor="text1"/>
                <w:sz w:val="20"/>
                <w:szCs w:val="20"/>
              </w:rPr>
            </w:pPr>
            <w:r w:rsidRPr="00EA702F">
              <w:rPr>
                <w:color w:val="000000" w:themeColor="text1"/>
                <w:sz w:val="20"/>
                <w:szCs w:val="20"/>
              </w:rPr>
              <w:t>453</w:t>
            </w:r>
          </w:p>
        </w:tc>
        <w:tc>
          <w:tcPr>
            <w:tcW w:w="1295" w:type="dxa"/>
          </w:tcPr>
          <w:p w14:paraId="1F3F4104" w14:textId="6C70A63F" w:rsidR="00EA702F" w:rsidRPr="00EA702F" w:rsidRDefault="00EA702F" w:rsidP="00E85520">
            <w:pPr>
              <w:spacing w:line="240" w:lineRule="auto"/>
              <w:rPr>
                <w:color w:val="000000" w:themeColor="text1"/>
                <w:sz w:val="20"/>
                <w:szCs w:val="20"/>
              </w:rPr>
            </w:pPr>
            <w:r w:rsidRPr="00EA702F">
              <w:rPr>
                <w:color w:val="000000" w:themeColor="text1"/>
                <w:sz w:val="20"/>
                <w:szCs w:val="20"/>
              </w:rPr>
              <w:t>441</w:t>
            </w:r>
          </w:p>
        </w:tc>
        <w:tc>
          <w:tcPr>
            <w:tcW w:w="1295" w:type="dxa"/>
          </w:tcPr>
          <w:p w14:paraId="58AE0773" w14:textId="12CAF32D" w:rsidR="00EA702F" w:rsidRPr="00EA702F" w:rsidRDefault="00EA702F" w:rsidP="00E85520">
            <w:pPr>
              <w:spacing w:line="240" w:lineRule="auto"/>
              <w:rPr>
                <w:color w:val="000000" w:themeColor="text1"/>
                <w:sz w:val="20"/>
                <w:szCs w:val="20"/>
              </w:rPr>
            </w:pPr>
            <w:r w:rsidRPr="00EA702F">
              <w:rPr>
                <w:color w:val="000000" w:themeColor="text1"/>
                <w:sz w:val="20"/>
                <w:szCs w:val="20"/>
              </w:rPr>
              <w:t>456</w:t>
            </w:r>
          </w:p>
        </w:tc>
        <w:tc>
          <w:tcPr>
            <w:tcW w:w="1295" w:type="dxa"/>
          </w:tcPr>
          <w:p w14:paraId="2760AE2E" w14:textId="5CC3842A" w:rsidR="00EA702F" w:rsidRPr="00EA702F" w:rsidRDefault="00EA702F" w:rsidP="00E85520">
            <w:pPr>
              <w:spacing w:line="240" w:lineRule="auto"/>
              <w:rPr>
                <w:color w:val="000000" w:themeColor="text1"/>
                <w:sz w:val="20"/>
                <w:szCs w:val="20"/>
              </w:rPr>
            </w:pPr>
            <w:r w:rsidRPr="00EA702F">
              <w:rPr>
                <w:color w:val="000000" w:themeColor="text1"/>
                <w:sz w:val="20"/>
                <w:szCs w:val="20"/>
              </w:rPr>
              <w:t>429</w:t>
            </w:r>
          </w:p>
        </w:tc>
      </w:tr>
    </w:tbl>
    <w:p w14:paraId="182CAF83" w14:textId="65341A8A" w:rsidR="002D4FAD" w:rsidRPr="00FF674B" w:rsidRDefault="00580F24" w:rsidP="00E85520">
      <w:pPr>
        <w:shd w:val="clear" w:color="auto" w:fill="FFFFFF"/>
        <w:spacing w:line="240" w:lineRule="auto"/>
        <w:rPr>
          <w:i/>
          <w:color w:val="000000" w:themeColor="text1"/>
        </w:rPr>
      </w:pPr>
      <w:r w:rsidRPr="00580F24">
        <w:rPr>
          <w:i/>
          <w:color w:val="000000" w:themeColor="text1"/>
          <w:sz w:val="4"/>
          <w:szCs w:val="4"/>
        </w:rPr>
        <w:br/>
      </w:r>
      <w:r w:rsidR="00EA702F" w:rsidRPr="00FF674B">
        <w:rPr>
          <w:i/>
          <w:color w:val="000000" w:themeColor="text1"/>
        </w:rPr>
        <w:t>Antalet dödfödda barn per 1000 födslar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5"/>
        <w:gridCol w:w="1295"/>
        <w:gridCol w:w="1295"/>
        <w:gridCol w:w="1295"/>
      </w:tblGrid>
      <w:tr w:rsidR="00EA702F" w:rsidRPr="00EA702F" w14:paraId="15675C25" w14:textId="77777777" w:rsidTr="00FF674B">
        <w:tc>
          <w:tcPr>
            <w:tcW w:w="1294" w:type="dxa"/>
          </w:tcPr>
          <w:p w14:paraId="0EC1E646" w14:textId="77777777" w:rsidR="00EA702F" w:rsidRPr="00EA702F" w:rsidRDefault="00EA702F" w:rsidP="00E85520">
            <w:pPr>
              <w:spacing w:line="240" w:lineRule="auto"/>
              <w:rPr>
                <w:color w:val="000000" w:themeColor="text1"/>
                <w:sz w:val="20"/>
                <w:szCs w:val="20"/>
              </w:rPr>
            </w:pPr>
          </w:p>
        </w:tc>
        <w:tc>
          <w:tcPr>
            <w:tcW w:w="1294" w:type="dxa"/>
          </w:tcPr>
          <w:p w14:paraId="3FABB6BD" w14:textId="05E40E75" w:rsidR="00EA702F" w:rsidRPr="00EA702F" w:rsidRDefault="00EA702F" w:rsidP="00E85520">
            <w:pPr>
              <w:spacing w:line="240" w:lineRule="auto"/>
              <w:rPr>
                <w:color w:val="000000" w:themeColor="text1"/>
                <w:sz w:val="20"/>
                <w:szCs w:val="20"/>
              </w:rPr>
            </w:pPr>
            <w:r w:rsidRPr="00EA702F">
              <w:rPr>
                <w:color w:val="000000" w:themeColor="text1"/>
                <w:sz w:val="20"/>
                <w:szCs w:val="20"/>
              </w:rPr>
              <w:t>3,67</w:t>
            </w:r>
          </w:p>
        </w:tc>
        <w:tc>
          <w:tcPr>
            <w:tcW w:w="1294" w:type="dxa"/>
          </w:tcPr>
          <w:p w14:paraId="398E4A0D" w14:textId="190B6517" w:rsidR="00EA702F" w:rsidRPr="00EA702F" w:rsidRDefault="00EA702F" w:rsidP="00E85520">
            <w:pPr>
              <w:spacing w:line="240" w:lineRule="auto"/>
              <w:rPr>
                <w:color w:val="000000" w:themeColor="text1"/>
                <w:sz w:val="20"/>
                <w:szCs w:val="20"/>
              </w:rPr>
            </w:pPr>
            <w:r w:rsidRPr="00EA702F">
              <w:rPr>
                <w:color w:val="000000" w:themeColor="text1"/>
                <w:sz w:val="20"/>
                <w:szCs w:val="20"/>
              </w:rPr>
              <w:t>3,82</w:t>
            </w:r>
          </w:p>
        </w:tc>
        <w:tc>
          <w:tcPr>
            <w:tcW w:w="1295" w:type="dxa"/>
          </w:tcPr>
          <w:p w14:paraId="22BBA2F3" w14:textId="6531DAE0" w:rsidR="00EA702F" w:rsidRPr="00EA702F" w:rsidRDefault="00EA702F" w:rsidP="00E85520">
            <w:pPr>
              <w:spacing w:line="240" w:lineRule="auto"/>
              <w:rPr>
                <w:color w:val="000000" w:themeColor="text1"/>
                <w:sz w:val="20"/>
                <w:szCs w:val="20"/>
              </w:rPr>
            </w:pPr>
            <w:r w:rsidRPr="00EA702F">
              <w:rPr>
                <w:color w:val="000000" w:themeColor="text1"/>
                <w:sz w:val="20"/>
                <w:szCs w:val="20"/>
              </w:rPr>
              <w:t>3,99</w:t>
            </w:r>
          </w:p>
        </w:tc>
        <w:tc>
          <w:tcPr>
            <w:tcW w:w="1295" w:type="dxa"/>
          </w:tcPr>
          <w:p w14:paraId="13671008" w14:textId="44A6B411" w:rsidR="00EA702F" w:rsidRPr="00EA702F" w:rsidRDefault="00EA702F" w:rsidP="00E85520">
            <w:pPr>
              <w:spacing w:line="240" w:lineRule="auto"/>
              <w:rPr>
                <w:color w:val="000000" w:themeColor="text1"/>
                <w:sz w:val="20"/>
                <w:szCs w:val="20"/>
              </w:rPr>
            </w:pPr>
            <w:r w:rsidRPr="00EA702F">
              <w:rPr>
                <w:color w:val="000000" w:themeColor="text1"/>
                <w:sz w:val="20"/>
                <w:szCs w:val="20"/>
              </w:rPr>
              <w:t>3,87</w:t>
            </w:r>
          </w:p>
        </w:tc>
        <w:tc>
          <w:tcPr>
            <w:tcW w:w="1295" w:type="dxa"/>
          </w:tcPr>
          <w:p w14:paraId="73DECEE1" w14:textId="4A56D135" w:rsidR="00EA702F" w:rsidRPr="00EA702F" w:rsidRDefault="00EA702F" w:rsidP="00E85520">
            <w:pPr>
              <w:spacing w:line="240" w:lineRule="auto"/>
              <w:rPr>
                <w:color w:val="000000" w:themeColor="text1"/>
                <w:sz w:val="20"/>
                <w:szCs w:val="20"/>
              </w:rPr>
            </w:pPr>
            <w:r w:rsidRPr="00EA702F">
              <w:rPr>
                <w:color w:val="000000" w:themeColor="text1"/>
                <w:sz w:val="20"/>
                <w:szCs w:val="20"/>
              </w:rPr>
              <w:t>3,95</w:t>
            </w:r>
          </w:p>
        </w:tc>
        <w:tc>
          <w:tcPr>
            <w:tcW w:w="1295" w:type="dxa"/>
          </w:tcPr>
          <w:p w14:paraId="45B394FC" w14:textId="7FA4C0B5" w:rsidR="00EA702F" w:rsidRPr="00EA702F" w:rsidRDefault="00EA702F" w:rsidP="00E85520">
            <w:pPr>
              <w:spacing w:line="240" w:lineRule="auto"/>
              <w:rPr>
                <w:color w:val="000000" w:themeColor="text1"/>
                <w:sz w:val="20"/>
                <w:szCs w:val="20"/>
              </w:rPr>
            </w:pPr>
            <w:r w:rsidRPr="00EA702F">
              <w:rPr>
                <w:color w:val="000000" w:themeColor="text1"/>
                <w:sz w:val="20"/>
                <w:szCs w:val="20"/>
              </w:rPr>
              <w:t>3,72</w:t>
            </w:r>
          </w:p>
        </w:tc>
      </w:tr>
    </w:tbl>
    <w:p w14:paraId="0584814C" w14:textId="77777777" w:rsidR="00EA702F" w:rsidRPr="00EA702F" w:rsidRDefault="00EA702F" w:rsidP="00E85520">
      <w:pPr>
        <w:shd w:val="clear" w:color="auto" w:fill="FFFFFF"/>
        <w:spacing w:line="240" w:lineRule="auto"/>
        <w:rPr>
          <w:b/>
          <w:color w:val="000000" w:themeColor="text1"/>
        </w:rPr>
      </w:pPr>
    </w:p>
    <w:p w14:paraId="445112B4" w14:textId="77777777" w:rsidR="004A488C" w:rsidRPr="00E85520" w:rsidRDefault="004A488C" w:rsidP="00E85520">
      <w:pPr>
        <w:spacing w:line="240" w:lineRule="auto"/>
        <w:rPr>
          <w:color w:val="000000" w:themeColor="text1"/>
        </w:rPr>
      </w:pPr>
    </w:p>
    <w:p w14:paraId="75475223" w14:textId="77777777" w:rsidR="00DD1A7C" w:rsidRPr="00E85520" w:rsidRDefault="003A2568" w:rsidP="00E85520">
      <w:pPr>
        <w:spacing w:line="240" w:lineRule="auto"/>
      </w:pPr>
    </w:p>
    <w:sectPr w:rsidR="00DD1A7C" w:rsidRPr="00E85520" w:rsidSect="00861F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1BAAD" w14:textId="77777777" w:rsidR="003A2568" w:rsidRDefault="003A2568" w:rsidP="004A488C">
      <w:pPr>
        <w:spacing w:after="0" w:line="240" w:lineRule="auto"/>
      </w:pPr>
      <w:r>
        <w:separator/>
      </w:r>
    </w:p>
  </w:endnote>
  <w:endnote w:type="continuationSeparator" w:id="0">
    <w:p w14:paraId="540697B6" w14:textId="77777777" w:rsidR="003A2568" w:rsidRDefault="003A2568" w:rsidP="004A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stem Font">
    <w:altName w:val="Arial Unicode MS"/>
    <w:panose1 w:val="00000000000000000000"/>
    <w:charset w:val="88"/>
    <w:family w:val="auto"/>
    <w:notTrueType/>
    <w:pitch w:val="fixed"/>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1509"/>
      <w:gridCol w:w="1077"/>
      <w:gridCol w:w="2211"/>
      <w:gridCol w:w="1331"/>
      <w:gridCol w:w="1558"/>
      <w:gridCol w:w="1270"/>
    </w:tblGrid>
    <w:tr w:rsidR="00B75BED" w:rsidRPr="00B75BED" w14:paraId="20C7AE20" w14:textId="77777777" w:rsidTr="00073C90">
      <w:trPr>
        <w:trHeight w:val="204"/>
      </w:trPr>
      <w:tc>
        <w:tcPr>
          <w:tcW w:w="1509" w:type="dxa"/>
          <w:tcBorders>
            <w:top w:val="single" w:sz="4" w:space="0" w:color="auto"/>
          </w:tcBorders>
        </w:tcPr>
        <w:p w14:paraId="4373BCAB" w14:textId="77777777" w:rsidR="00B75BED" w:rsidRPr="00B75BED" w:rsidRDefault="00F52FEC" w:rsidP="00073C90">
          <w:pPr>
            <w:pStyle w:val="Sidfot"/>
            <w:rPr>
              <w:b/>
              <w:sz w:val="14"/>
              <w:szCs w:val="14"/>
            </w:rPr>
          </w:pPr>
          <w:r w:rsidRPr="00B75BED">
            <w:rPr>
              <w:b/>
              <w:sz w:val="14"/>
              <w:szCs w:val="14"/>
            </w:rPr>
            <w:t>Post-/besöksadress</w:t>
          </w:r>
          <w:r>
            <w:rPr>
              <w:b/>
              <w:sz w:val="14"/>
              <w:szCs w:val="14"/>
            </w:rPr>
            <w:t>:</w:t>
          </w:r>
        </w:p>
      </w:tc>
      <w:tc>
        <w:tcPr>
          <w:tcW w:w="1077" w:type="dxa"/>
          <w:tcBorders>
            <w:top w:val="single" w:sz="4" w:space="0" w:color="auto"/>
          </w:tcBorders>
        </w:tcPr>
        <w:p w14:paraId="4A19C159" w14:textId="77777777" w:rsidR="00B75BED" w:rsidRPr="00B75BED" w:rsidRDefault="00F52FEC" w:rsidP="00073C90">
          <w:pPr>
            <w:pStyle w:val="Sidfot"/>
            <w:rPr>
              <w:b/>
              <w:sz w:val="14"/>
              <w:szCs w:val="14"/>
            </w:rPr>
          </w:pPr>
          <w:r w:rsidRPr="00B75BED">
            <w:rPr>
              <w:b/>
              <w:sz w:val="14"/>
              <w:szCs w:val="14"/>
            </w:rPr>
            <w:t>Telefon</w:t>
          </w:r>
          <w:r>
            <w:rPr>
              <w:b/>
              <w:sz w:val="14"/>
              <w:szCs w:val="14"/>
            </w:rPr>
            <w:t>:</w:t>
          </w:r>
        </w:p>
      </w:tc>
      <w:tc>
        <w:tcPr>
          <w:tcW w:w="2211" w:type="dxa"/>
          <w:tcBorders>
            <w:top w:val="single" w:sz="4" w:space="0" w:color="auto"/>
          </w:tcBorders>
        </w:tcPr>
        <w:p w14:paraId="591B4A06" w14:textId="77777777" w:rsidR="00B75BED" w:rsidRPr="00B75BED" w:rsidRDefault="00F52FEC" w:rsidP="00073C90">
          <w:pPr>
            <w:pStyle w:val="Sidfot"/>
            <w:rPr>
              <w:b/>
              <w:sz w:val="14"/>
              <w:szCs w:val="14"/>
            </w:rPr>
          </w:pPr>
          <w:r w:rsidRPr="00B75BED">
            <w:rPr>
              <w:b/>
              <w:sz w:val="14"/>
              <w:szCs w:val="14"/>
            </w:rPr>
            <w:t>Internet</w:t>
          </w:r>
          <w:r>
            <w:rPr>
              <w:b/>
              <w:sz w:val="14"/>
              <w:szCs w:val="14"/>
            </w:rPr>
            <w:t>:</w:t>
          </w:r>
        </w:p>
      </w:tc>
      <w:tc>
        <w:tcPr>
          <w:tcW w:w="1331" w:type="dxa"/>
          <w:tcBorders>
            <w:top w:val="single" w:sz="4" w:space="0" w:color="auto"/>
          </w:tcBorders>
        </w:tcPr>
        <w:p w14:paraId="06F3A817" w14:textId="77777777" w:rsidR="00B75BED" w:rsidRPr="00B75BED" w:rsidRDefault="00F52FEC" w:rsidP="00073C90">
          <w:pPr>
            <w:pStyle w:val="Sidfot"/>
            <w:rPr>
              <w:b/>
              <w:sz w:val="14"/>
              <w:szCs w:val="14"/>
            </w:rPr>
          </w:pPr>
          <w:r w:rsidRPr="00B75BED">
            <w:rPr>
              <w:b/>
              <w:sz w:val="14"/>
              <w:szCs w:val="14"/>
            </w:rPr>
            <w:t>Bank-/postgiro</w:t>
          </w:r>
          <w:r>
            <w:rPr>
              <w:b/>
              <w:sz w:val="14"/>
              <w:szCs w:val="14"/>
            </w:rPr>
            <w:t>:</w:t>
          </w:r>
        </w:p>
      </w:tc>
      <w:tc>
        <w:tcPr>
          <w:tcW w:w="1558" w:type="dxa"/>
          <w:tcBorders>
            <w:top w:val="single" w:sz="4" w:space="0" w:color="auto"/>
          </w:tcBorders>
        </w:tcPr>
        <w:p w14:paraId="4C844103" w14:textId="77777777" w:rsidR="00B75BED" w:rsidRPr="00B75BED" w:rsidRDefault="00F52FEC" w:rsidP="00073C90">
          <w:pPr>
            <w:pStyle w:val="Sidfot"/>
            <w:rPr>
              <w:b/>
              <w:sz w:val="14"/>
              <w:szCs w:val="14"/>
            </w:rPr>
          </w:pPr>
          <w:proofErr w:type="spellStart"/>
          <w:r>
            <w:rPr>
              <w:b/>
              <w:sz w:val="14"/>
              <w:szCs w:val="14"/>
            </w:rPr>
            <w:t>Organisationsnr</w:t>
          </w:r>
          <w:proofErr w:type="spellEnd"/>
          <w:r>
            <w:rPr>
              <w:b/>
              <w:sz w:val="14"/>
              <w:szCs w:val="14"/>
            </w:rPr>
            <w:t>:</w:t>
          </w:r>
        </w:p>
      </w:tc>
      <w:tc>
        <w:tcPr>
          <w:tcW w:w="1270" w:type="dxa"/>
          <w:tcBorders>
            <w:top w:val="single" w:sz="4" w:space="0" w:color="auto"/>
          </w:tcBorders>
        </w:tcPr>
        <w:p w14:paraId="08BEF4F2" w14:textId="77777777" w:rsidR="00B75BED" w:rsidRPr="00B75BED" w:rsidRDefault="00F52FEC" w:rsidP="00073C90">
          <w:pPr>
            <w:pStyle w:val="Sidfot"/>
            <w:rPr>
              <w:b/>
              <w:sz w:val="14"/>
              <w:szCs w:val="14"/>
            </w:rPr>
          </w:pPr>
          <w:r w:rsidRPr="00B75BED">
            <w:rPr>
              <w:b/>
              <w:sz w:val="14"/>
              <w:szCs w:val="14"/>
            </w:rPr>
            <w:t>Säte</w:t>
          </w:r>
          <w:r>
            <w:rPr>
              <w:b/>
              <w:sz w:val="14"/>
              <w:szCs w:val="14"/>
            </w:rPr>
            <w:t>:</w:t>
          </w:r>
        </w:p>
      </w:tc>
    </w:tr>
    <w:tr w:rsidR="00B75BED" w:rsidRPr="00B75BED" w14:paraId="2692A764" w14:textId="77777777" w:rsidTr="00073C90">
      <w:trPr>
        <w:trHeight w:val="204"/>
      </w:trPr>
      <w:tc>
        <w:tcPr>
          <w:tcW w:w="1509" w:type="dxa"/>
        </w:tcPr>
        <w:p w14:paraId="276FBCAC" w14:textId="77777777" w:rsidR="00B75BED" w:rsidRPr="00B75BED" w:rsidRDefault="00F52FEC" w:rsidP="00073C90">
          <w:pPr>
            <w:pStyle w:val="Sidfot"/>
            <w:rPr>
              <w:sz w:val="14"/>
              <w:szCs w:val="14"/>
            </w:rPr>
          </w:pPr>
          <w:r w:rsidRPr="00B75BED">
            <w:rPr>
              <w:sz w:val="14"/>
              <w:szCs w:val="14"/>
            </w:rPr>
            <w:t>Spädbarnsfonden</w:t>
          </w:r>
        </w:p>
      </w:tc>
      <w:tc>
        <w:tcPr>
          <w:tcW w:w="1077" w:type="dxa"/>
        </w:tcPr>
        <w:p w14:paraId="04A5CB0F" w14:textId="77777777" w:rsidR="00B75BED" w:rsidRPr="00B75BED" w:rsidRDefault="00F52FEC" w:rsidP="00073C90">
          <w:pPr>
            <w:pStyle w:val="Sidfot"/>
            <w:rPr>
              <w:sz w:val="14"/>
              <w:szCs w:val="14"/>
            </w:rPr>
          </w:pPr>
          <w:r w:rsidRPr="00B75BED">
            <w:rPr>
              <w:sz w:val="14"/>
              <w:szCs w:val="14"/>
            </w:rPr>
            <w:t>031-387 57 57</w:t>
          </w:r>
        </w:p>
      </w:tc>
      <w:tc>
        <w:tcPr>
          <w:tcW w:w="2211" w:type="dxa"/>
        </w:tcPr>
        <w:p w14:paraId="676BB73E" w14:textId="77777777" w:rsidR="00B75BED" w:rsidRPr="00B75BED" w:rsidRDefault="00F52FEC" w:rsidP="00073C90">
          <w:pPr>
            <w:pStyle w:val="Sidfot"/>
            <w:rPr>
              <w:sz w:val="14"/>
              <w:szCs w:val="14"/>
            </w:rPr>
          </w:pPr>
          <w:r w:rsidRPr="00B75BED">
            <w:rPr>
              <w:sz w:val="14"/>
              <w:szCs w:val="14"/>
            </w:rPr>
            <w:t>www.spadbarnsfonden.se</w:t>
          </w:r>
        </w:p>
      </w:tc>
      <w:tc>
        <w:tcPr>
          <w:tcW w:w="1331" w:type="dxa"/>
        </w:tcPr>
        <w:p w14:paraId="2A61B997" w14:textId="77777777" w:rsidR="00B75BED" w:rsidRPr="00B75BED" w:rsidRDefault="00F52FEC" w:rsidP="00073C90">
          <w:pPr>
            <w:pStyle w:val="Sidfot"/>
            <w:rPr>
              <w:sz w:val="14"/>
              <w:szCs w:val="14"/>
            </w:rPr>
          </w:pPr>
          <w:r w:rsidRPr="00B75BED">
            <w:rPr>
              <w:sz w:val="14"/>
              <w:szCs w:val="14"/>
            </w:rPr>
            <w:t>BG 900 – 2122</w:t>
          </w:r>
        </w:p>
      </w:tc>
      <w:tc>
        <w:tcPr>
          <w:tcW w:w="1558" w:type="dxa"/>
        </w:tcPr>
        <w:p w14:paraId="02199732" w14:textId="77777777" w:rsidR="00B75BED" w:rsidRPr="00B75BED" w:rsidRDefault="00F52FEC" w:rsidP="00073C90">
          <w:pPr>
            <w:pStyle w:val="Sidfot"/>
            <w:rPr>
              <w:sz w:val="14"/>
              <w:szCs w:val="14"/>
            </w:rPr>
          </w:pPr>
          <w:proofErr w:type="gramStart"/>
          <w:r w:rsidRPr="00B75BED">
            <w:rPr>
              <w:sz w:val="14"/>
              <w:szCs w:val="14"/>
            </w:rPr>
            <w:t>802012-1193</w:t>
          </w:r>
          <w:proofErr w:type="gramEnd"/>
        </w:p>
      </w:tc>
      <w:tc>
        <w:tcPr>
          <w:tcW w:w="1270" w:type="dxa"/>
        </w:tcPr>
        <w:p w14:paraId="2ACA1BA1" w14:textId="77777777" w:rsidR="00B75BED" w:rsidRPr="00B75BED" w:rsidRDefault="00F52FEC" w:rsidP="00073C90">
          <w:pPr>
            <w:pStyle w:val="Sidfot"/>
            <w:rPr>
              <w:sz w:val="14"/>
              <w:szCs w:val="14"/>
            </w:rPr>
          </w:pPr>
          <w:r w:rsidRPr="00B75BED">
            <w:rPr>
              <w:sz w:val="14"/>
              <w:szCs w:val="14"/>
            </w:rPr>
            <w:t>Göteborg</w:t>
          </w:r>
        </w:p>
      </w:tc>
    </w:tr>
    <w:tr w:rsidR="00B75BED" w:rsidRPr="00B75BED" w14:paraId="35410E8D" w14:textId="77777777" w:rsidTr="00073C90">
      <w:trPr>
        <w:trHeight w:val="193"/>
      </w:trPr>
      <w:tc>
        <w:tcPr>
          <w:tcW w:w="1509" w:type="dxa"/>
        </w:tcPr>
        <w:p w14:paraId="632C5EC6" w14:textId="77777777" w:rsidR="00B75BED" w:rsidRPr="00B75BED" w:rsidRDefault="00F52FEC" w:rsidP="00073C90">
          <w:pPr>
            <w:pStyle w:val="Sidfot"/>
            <w:rPr>
              <w:sz w:val="14"/>
              <w:szCs w:val="14"/>
            </w:rPr>
          </w:pPr>
          <w:r w:rsidRPr="00B75BED">
            <w:rPr>
              <w:sz w:val="14"/>
              <w:szCs w:val="14"/>
            </w:rPr>
            <w:t>Stigbergsliden 18</w:t>
          </w:r>
        </w:p>
      </w:tc>
      <w:tc>
        <w:tcPr>
          <w:tcW w:w="1077" w:type="dxa"/>
        </w:tcPr>
        <w:p w14:paraId="383CBBA8" w14:textId="77777777" w:rsidR="00B75BED" w:rsidRPr="00B75BED" w:rsidRDefault="003A2568" w:rsidP="00073C90">
          <w:pPr>
            <w:pStyle w:val="Sidfot"/>
            <w:rPr>
              <w:sz w:val="14"/>
              <w:szCs w:val="14"/>
            </w:rPr>
          </w:pPr>
        </w:p>
      </w:tc>
      <w:tc>
        <w:tcPr>
          <w:tcW w:w="2211" w:type="dxa"/>
        </w:tcPr>
        <w:p w14:paraId="0CF7DAD3" w14:textId="77777777" w:rsidR="00B75BED" w:rsidRPr="00B75BED" w:rsidRDefault="00F52FEC" w:rsidP="00073C90">
          <w:pPr>
            <w:pStyle w:val="Sidfot"/>
            <w:rPr>
              <w:b/>
              <w:sz w:val="14"/>
              <w:szCs w:val="14"/>
            </w:rPr>
          </w:pPr>
          <w:r w:rsidRPr="00B75BED">
            <w:rPr>
              <w:b/>
              <w:sz w:val="14"/>
              <w:szCs w:val="14"/>
            </w:rPr>
            <w:t>E-post:</w:t>
          </w:r>
        </w:p>
      </w:tc>
      <w:tc>
        <w:tcPr>
          <w:tcW w:w="1331" w:type="dxa"/>
        </w:tcPr>
        <w:p w14:paraId="1B928C5F" w14:textId="77777777" w:rsidR="00B75BED" w:rsidRPr="00B75BED" w:rsidRDefault="00F52FEC" w:rsidP="00073C90">
          <w:pPr>
            <w:pStyle w:val="Sidfot"/>
            <w:rPr>
              <w:sz w:val="14"/>
              <w:szCs w:val="14"/>
            </w:rPr>
          </w:pPr>
          <w:r w:rsidRPr="00B75BED">
            <w:rPr>
              <w:sz w:val="14"/>
              <w:szCs w:val="14"/>
            </w:rPr>
            <w:t>PG 90 02 12- 2</w:t>
          </w:r>
        </w:p>
      </w:tc>
      <w:tc>
        <w:tcPr>
          <w:tcW w:w="1558" w:type="dxa"/>
        </w:tcPr>
        <w:p w14:paraId="601FE96F" w14:textId="77777777" w:rsidR="00B75BED" w:rsidRPr="00B75BED" w:rsidRDefault="003A2568" w:rsidP="00073C90">
          <w:pPr>
            <w:pStyle w:val="Sidfot"/>
            <w:rPr>
              <w:sz w:val="14"/>
              <w:szCs w:val="14"/>
            </w:rPr>
          </w:pPr>
        </w:p>
      </w:tc>
      <w:tc>
        <w:tcPr>
          <w:tcW w:w="1270" w:type="dxa"/>
        </w:tcPr>
        <w:p w14:paraId="434B27C2" w14:textId="77777777" w:rsidR="00B75BED" w:rsidRPr="00B75BED" w:rsidRDefault="003A2568" w:rsidP="00073C90">
          <w:pPr>
            <w:pStyle w:val="Sidfot"/>
            <w:rPr>
              <w:sz w:val="14"/>
              <w:szCs w:val="14"/>
            </w:rPr>
          </w:pPr>
        </w:p>
      </w:tc>
    </w:tr>
    <w:tr w:rsidR="00B75BED" w:rsidRPr="00B75BED" w14:paraId="2AB94D29" w14:textId="77777777" w:rsidTr="00073C90">
      <w:trPr>
        <w:trHeight w:val="77"/>
      </w:trPr>
      <w:tc>
        <w:tcPr>
          <w:tcW w:w="1509" w:type="dxa"/>
        </w:tcPr>
        <w:p w14:paraId="1BD7FF3B" w14:textId="77777777" w:rsidR="00B75BED" w:rsidRPr="00B75BED" w:rsidRDefault="00F52FEC" w:rsidP="00073C90">
          <w:pPr>
            <w:pStyle w:val="Sidfot"/>
            <w:rPr>
              <w:sz w:val="14"/>
              <w:szCs w:val="14"/>
            </w:rPr>
          </w:pPr>
          <w:r w:rsidRPr="00B75BED">
            <w:rPr>
              <w:sz w:val="14"/>
              <w:szCs w:val="14"/>
            </w:rPr>
            <w:t>414 63 GÖTEBORG</w:t>
          </w:r>
        </w:p>
      </w:tc>
      <w:tc>
        <w:tcPr>
          <w:tcW w:w="1077" w:type="dxa"/>
        </w:tcPr>
        <w:p w14:paraId="48674344" w14:textId="77777777" w:rsidR="00B75BED" w:rsidRPr="00B75BED" w:rsidRDefault="003A2568" w:rsidP="00073C90">
          <w:pPr>
            <w:pStyle w:val="Sidfot"/>
            <w:rPr>
              <w:sz w:val="14"/>
              <w:szCs w:val="14"/>
            </w:rPr>
          </w:pPr>
        </w:p>
      </w:tc>
      <w:tc>
        <w:tcPr>
          <w:tcW w:w="2211" w:type="dxa"/>
        </w:tcPr>
        <w:p w14:paraId="3C8C5076" w14:textId="77777777" w:rsidR="00B75BED" w:rsidRPr="00B75BED" w:rsidRDefault="00F52FEC" w:rsidP="00073C90">
          <w:pPr>
            <w:pStyle w:val="Sidfot"/>
            <w:rPr>
              <w:sz w:val="14"/>
              <w:szCs w:val="14"/>
            </w:rPr>
          </w:pPr>
          <w:r w:rsidRPr="00B75BED">
            <w:rPr>
              <w:sz w:val="14"/>
              <w:szCs w:val="14"/>
            </w:rPr>
            <w:t>kansliet@spadbarnsfonden.se</w:t>
          </w:r>
        </w:p>
      </w:tc>
      <w:tc>
        <w:tcPr>
          <w:tcW w:w="1331" w:type="dxa"/>
        </w:tcPr>
        <w:p w14:paraId="6DF780A7" w14:textId="77777777" w:rsidR="00B75BED" w:rsidRPr="00B75BED" w:rsidRDefault="00F52FEC" w:rsidP="00073C90">
          <w:pPr>
            <w:pStyle w:val="Sidfot"/>
            <w:rPr>
              <w:sz w:val="14"/>
              <w:szCs w:val="14"/>
            </w:rPr>
          </w:pPr>
          <w:r w:rsidRPr="00B75BED">
            <w:rPr>
              <w:sz w:val="14"/>
              <w:szCs w:val="14"/>
            </w:rPr>
            <w:t xml:space="preserve">SFI, </w:t>
          </w:r>
          <w:proofErr w:type="spellStart"/>
          <w:r w:rsidRPr="00B75BED">
            <w:rPr>
              <w:sz w:val="14"/>
              <w:szCs w:val="14"/>
            </w:rPr>
            <w:t>FRII</w:t>
          </w:r>
          <w:proofErr w:type="spellEnd"/>
        </w:p>
      </w:tc>
      <w:tc>
        <w:tcPr>
          <w:tcW w:w="2828" w:type="dxa"/>
          <w:gridSpan w:val="2"/>
        </w:tcPr>
        <w:p w14:paraId="4B0F72F0" w14:textId="77777777" w:rsidR="00B75BED" w:rsidRPr="00B75BED" w:rsidRDefault="003A2568" w:rsidP="00073C90">
          <w:pPr>
            <w:pStyle w:val="Sidfot"/>
            <w:rPr>
              <w:sz w:val="14"/>
              <w:szCs w:val="14"/>
            </w:rPr>
          </w:pPr>
        </w:p>
      </w:tc>
    </w:tr>
  </w:tbl>
  <w:p w14:paraId="21D1EDEC" w14:textId="77777777" w:rsidR="00B75BED" w:rsidRPr="00B75BED" w:rsidRDefault="003A2568" w:rsidP="00B75BED">
    <w:pPr>
      <w:pStyle w:val="Sidfo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B798F" w14:textId="77777777" w:rsidR="003A2568" w:rsidRDefault="003A2568" w:rsidP="004A488C">
      <w:pPr>
        <w:spacing w:after="0" w:line="240" w:lineRule="auto"/>
      </w:pPr>
      <w:r>
        <w:separator/>
      </w:r>
    </w:p>
  </w:footnote>
  <w:footnote w:type="continuationSeparator" w:id="0">
    <w:p w14:paraId="348B2239" w14:textId="77777777" w:rsidR="003A2568" w:rsidRDefault="003A2568" w:rsidP="004A488C">
      <w:pPr>
        <w:spacing w:after="0" w:line="240" w:lineRule="auto"/>
      </w:pPr>
      <w:r>
        <w:continuationSeparator/>
      </w:r>
    </w:p>
  </w:footnote>
  <w:footnote w:id="1">
    <w:p w14:paraId="7023012D" w14:textId="48A8D810" w:rsidR="004A488C" w:rsidRPr="00580F24" w:rsidRDefault="004A488C" w:rsidP="004A488C">
      <w:pPr>
        <w:pStyle w:val="Fotnotstext"/>
        <w:rPr>
          <w:rFonts w:asciiTheme="minorHAnsi" w:hAnsiTheme="minorHAnsi"/>
          <w:sz w:val="16"/>
          <w:szCs w:val="16"/>
        </w:rPr>
      </w:pPr>
      <w:r w:rsidRPr="00580F24">
        <w:rPr>
          <w:rStyle w:val="Fotnotsreferens"/>
          <w:rFonts w:asciiTheme="minorHAnsi" w:hAnsiTheme="minorHAnsi"/>
          <w:sz w:val="16"/>
          <w:szCs w:val="16"/>
        </w:rPr>
        <w:footnoteRef/>
      </w:r>
      <w:r w:rsidRPr="00580F24">
        <w:rPr>
          <w:rFonts w:asciiTheme="minorHAnsi" w:hAnsiTheme="minorHAnsi"/>
          <w:sz w:val="16"/>
          <w:szCs w:val="16"/>
        </w:rPr>
        <w:t xml:space="preserve"> Den 1 juli 2008 ändrades lagstiftningen i Sverige, i enlighet med WHO:s riktlinjer, till att ett foster räknas som ett barn efter </w:t>
      </w:r>
      <w:proofErr w:type="gramStart"/>
      <w:r w:rsidR="00580F24">
        <w:rPr>
          <w:rFonts w:asciiTheme="minorHAnsi" w:hAnsiTheme="minorHAnsi"/>
          <w:sz w:val="16"/>
          <w:szCs w:val="16"/>
        </w:rPr>
        <w:t>22:a</w:t>
      </w:r>
      <w:proofErr w:type="gramEnd"/>
      <w:r w:rsidR="00580F24">
        <w:rPr>
          <w:rFonts w:asciiTheme="minorHAnsi" w:hAnsiTheme="minorHAnsi"/>
          <w:sz w:val="16"/>
          <w:szCs w:val="16"/>
        </w:rPr>
        <w:t xml:space="preserve"> havandeskapsveckan</w:t>
      </w:r>
    </w:p>
  </w:footnote>
  <w:footnote w:id="2">
    <w:p w14:paraId="09F10F44" w14:textId="02C655A5" w:rsidR="004A488C" w:rsidRPr="00580F24" w:rsidRDefault="004A488C" w:rsidP="004A488C">
      <w:pPr>
        <w:pStyle w:val="Fotnotstext"/>
        <w:rPr>
          <w:rFonts w:asciiTheme="minorHAnsi" w:hAnsiTheme="minorHAnsi"/>
          <w:sz w:val="16"/>
          <w:szCs w:val="16"/>
          <w:lang w:val="en-US"/>
        </w:rPr>
      </w:pPr>
      <w:r w:rsidRPr="00580F24">
        <w:rPr>
          <w:rStyle w:val="Fotnotsreferens"/>
          <w:rFonts w:asciiTheme="minorHAnsi" w:hAnsiTheme="minorHAnsi"/>
          <w:sz w:val="16"/>
          <w:szCs w:val="16"/>
        </w:rPr>
        <w:footnoteRef/>
      </w:r>
      <w:r w:rsidRPr="00580F24">
        <w:rPr>
          <w:rFonts w:asciiTheme="minorHAnsi" w:hAnsiTheme="minorHAnsi"/>
          <w:sz w:val="16"/>
          <w:szCs w:val="16"/>
          <w:lang w:val="en-US"/>
        </w:rPr>
        <w:t xml:space="preserve"> The Lancet</w:t>
      </w:r>
      <w:proofErr w:type="gramStart"/>
      <w:r w:rsidRPr="00580F24">
        <w:rPr>
          <w:rFonts w:asciiTheme="minorHAnsi" w:hAnsiTheme="minorHAnsi"/>
          <w:sz w:val="16"/>
          <w:szCs w:val="16"/>
          <w:lang w:val="en-US"/>
        </w:rPr>
        <w:t>, ”S</w:t>
      </w:r>
      <w:r w:rsidR="00580F24">
        <w:rPr>
          <w:rFonts w:asciiTheme="minorHAnsi" w:hAnsiTheme="minorHAnsi"/>
          <w:bCs/>
          <w:sz w:val="16"/>
          <w:szCs w:val="16"/>
          <w:lang w:val="en-US"/>
        </w:rPr>
        <w:t>tillbirths</w:t>
      </w:r>
      <w:proofErr w:type="gramEnd"/>
      <w:r w:rsidR="00580F24">
        <w:rPr>
          <w:rFonts w:asciiTheme="minorHAnsi" w:hAnsiTheme="minorHAnsi"/>
          <w:bCs/>
          <w:sz w:val="16"/>
          <w:szCs w:val="16"/>
          <w:lang w:val="en-US"/>
        </w:rPr>
        <w:t>”,</w:t>
      </w:r>
      <w:r w:rsidRPr="00580F24">
        <w:rPr>
          <w:rFonts w:asciiTheme="minorHAnsi" w:hAnsiTheme="minorHAnsi"/>
          <w:bCs/>
          <w:sz w:val="16"/>
          <w:szCs w:val="16"/>
          <w:lang w:val="en-US"/>
        </w:rPr>
        <w:t xml:space="preserve"> 2011</w:t>
      </w:r>
      <w:r w:rsidR="00580F24">
        <w:rPr>
          <w:rFonts w:asciiTheme="minorHAnsi" w:hAnsiTheme="minorHAnsi"/>
          <w:bCs/>
          <w:sz w:val="16"/>
          <w:szCs w:val="16"/>
          <w:lang w:val="en-US"/>
        </w:rPr>
        <w:t>,</w:t>
      </w:r>
      <w:r w:rsidRPr="00580F24">
        <w:rPr>
          <w:rFonts w:asciiTheme="minorHAnsi" w:hAnsiTheme="minorHAnsi"/>
          <w:bCs/>
          <w:sz w:val="16"/>
          <w:szCs w:val="16"/>
          <w:lang w:val="en-US"/>
        </w:rPr>
        <w:t xml:space="preserve"> http://www.thelancet.com/se</w:t>
      </w:r>
      <w:r w:rsidR="00133362" w:rsidRPr="00580F24">
        <w:rPr>
          <w:rFonts w:asciiTheme="minorHAnsi" w:hAnsiTheme="minorHAnsi"/>
          <w:bCs/>
          <w:sz w:val="16"/>
          <w:szCs w:val="16"/>
          <w:lang w:val="en-US"/>
        </w:rPr>
        <w:t xml:space="preserve">ries/stillbirth </w:t>
      </w:r>
      <w:proofErr w:type="spellStart"/>
      <w:r w:rsidR="00133362" w:rsidRPr="00580F24">
        <w:rPr>
          <w:rFonts w:asciiTheme="minorHAnsi" w:hAnsiTheme="minorHAnsi"/>
          <w:bCs/>
          <w:sz w:val="16"/>
          <w:szCs w:val="16"/>
          <w:lang w:val="en-US"/>
        </w:rPr>
        <w:t>och</w:t>
      </w:r>
      <w:proofErr w:type="spellEnd"/>
      <w:r w:rsidR="00133362" w:rsidRPr="00580F24">
        <w:rPr>
          <w:rFonts w:asciiTheme="minorHAnsi" w:hAnsiTheme="minorHAnsi"/>
          <w:bCs/>
          <w:sz w:val="16"/>
          <w:szCs w:val="16"/>
          <w:lang w:val="en-US"/>
        </w:rPr>
        <w:t xml:space="preserve"> WHO</w:t>
      </w:r>
    </w:p>
  </w:footnote>
  <w:footnote w:id="3">
    <w:p w14:paraId="7FE3572D" w14:textId="77777777" w:rsidR="004A488C" w:rsidRPr="00580F24" w:rsidRDefault="004A488C" w:rsidP="004A488C">
      <w:pPr>
        <w:pStyle w:val="Fotnotstext"/>
        <w:rPr>
          <w:rFonts w:asciiTheme="minorHAnsi" w:hAnsiTheme="minorHAnsi"/>
          <w:sz w:val="16"/>
          <w:szCs w:val="16"/>
        </w:rPr>
      </w:pPr>
      <w:r w:rsidRPr="00580F24">
        <w:rPr>
          <w:rStyle w:val="Fotnotsreferens"/>
          <w:rFonts w:asciiTheme="minorHAnsi" w:hAnsiTheme="minorHAnsi"/>
          <w:sz w:val="16"/>
          <w:szCs w:val="16"/>
        </w:rPr>
        <w:footnoteRef/>
      </w:r>
      <w:r w:rsidRPr="00580F24">
        <w:rPr>
          <w:rFonts w:asciiTheme="minorHAnsi" w:hAnsiTheme="minorHAnsi"/>
          <w:sz w:val="16"/>
          <w:szCs w:val="16"/>
        </w:rPr>
        <w:t xml:space="preserve"> Svenska medicinska födelseregistret</w:t>
      </w:r>
    </w:p>
  </w:footnote>
  <w:footnote w:id="4">
    <w:p w14:paraId="772E5B7B" w14:textId="77777777" w:rsidR="003C0629" w:rsidRPr="00766114" w:rsidRDefault="003C0629" w:rsidP="003C0629">
      <w:pPr>
        <w:pStyle w:val="Fotnotstext"/>
        <w:rPr>
          <w:rFonts w:asciiTheme="minorHAnsi" w:hAnsiTheme="minorHAnsi"/>
          <w:sz w:val="18"/>
          <w:szCs w:val="18"/>
        </w:rPr>
      </w:pPr>
      <w:r w:rsidRPr="003C0629">
        <w:rPr>
          <w:rStyle w:val="Fotnotsreferens"/>
          <w:rFonts w:asciiTheme="minorHAnsi" w:hAnsiTheme="minorHAnsi"/>
          <w:sz w:val="18"/>
          <w:szCs w:val="18"/>
        </w:rPr>
        <w:footnoteRef/>
      </w:r>
      <w:r w:rsidRPr="00766114">
        <w:rPr>
          <w:rFonts w:asciiTheme="minorHAnsi" w:hAnsiTheme="minorHAnsi"/>
          <w:sz w:val="18"/>
          <w:szCs w:val="18"/>
        </w:rPr>
        <w:t xml:space="preserve"> The Lancet’s Series Ending Preventable Stillbirth, januari 2016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9E6BD" w14:textId="68CF14EE" w:rsidR="00B75BED" w:rsidRDefault="00F52FEC">
    <w:pPr>
      <w:pStyle w:val="Sidhuvud"/>
    </w:pPr>
    <w:r w:rsidRPr="00B75BED">
      <w:rPr>
        <w:noProof/>
        <w:lang w:eastAsia="sv-SE"/>
      </w:rPr>
      <w:drawing>
        <wp:inline distT="0" distB="0" distL="0" distR="0" wp14:anchorId="58B8E7B5" wp14:editId="489DFDEB">
          <wp:extent cx="2247900" cy="756983"/>
          <wp:effectExtent l="19050" t="0" r="0" b="0"/>
          <wp:docPr id="2" name="Bildobjekt 0" descr="Sbf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 logga.JPG"/>
                  <pic:cNvPicPr/>
                </pic:nvPicPr>
                <pic:blipFill>
                  <a:blip r:embed="rId1"/>
                  <a:stretch>
                    <a:fillRect/>
                  </a:stretch>
                </pic:blipFill>
                <pic:spPr>
                  <a:xfrm>
                    <a:off x="0" y="0"/>
                    <a:ext cx="2247157" cy="756733"/>
                  </a:xfrm>
                  <a:prstGeom prst="rect">
                    <a:avLst/>
                  </a:prstGeom>
                </pic:spPr>
              </pic:pic>
            </a:graphicData>
          </a:graphic>
        </wp:inline>
      </w:drawing>
    </w:r>
    <w:r w:rsidR="00787E26">
      <w:tab/>
    </w:r>
    <w:r w:rsidR="00787E26">
      <w:tab/>
      <w:t>februari 2017</w:t>
    </w:r>
  </w:p>
  <w:p w14:paraId="0095933E" w14:textId="77777777" w:rsidR="00B75BED" w:rsidRDefault="003A2568">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786C61"/>
    <w:multiLevelType w:val="hybridMultilevel"/>
    <w:tmpl w:val="E5AEBF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C1B6FD5"/>
    <w:multiLevelType w:val="hybridMultilevel"/>
    <w:tmpl w:val="E5AEBF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8C"/>
    <w:rsid w:val="00082E50"/>
    <w:rsid w:val="000D4F18"/>
    <w:rsid w:val="00133362"/>
    <w:rsid w:val="00180871"/>
    <w:rsid w:val="00224C4A"/>
    <w:rsid w:val="00230899"/>
    <w:rsid w:val="002C24BA"/>
    <w:rsid w:val="002D4FAD"/>
    <w:rsid w:val="003A2568"/>
    <w:rsid w:val="003C0629"/>
    <w:rsid w:val="003D5065"/>
    <w:rsid w:val="00477430"/>
    <w:rsid w:val="004A488C"/>
    <w:rsid w:val="004C31D4"/>
    <w:rsid w:val="00580F24"/>
    <w:rsid w:val="005D5E1E"/>
    <w:rsid w:val="0069093B"/>
    <w:rsid w:val="006E3493"/>
    <w:rsid w:val="00766114"/>
    <w:rsid w:val="00787E26"/>
    <w:rsid w:val="007F2BB7"/>
    <w:rsid w:val="00887147"/>
    <w:rsid w:val="009A0949"/>
    <w:rsid w:val="00A30671"/>
    <w:rsid w:val="00A9267A"/>
    <w:rsid w:val="00BC25B4"/>
    <w:rsid w:val="00C159FA"/>
    <w:rsid w:val="00C46ADF"/>
    <w:rsid w:val="00D214C3"/>
    <w:rsid w:val="00E85520"/>
    <w:rsid w:val="00EA702F"/>
    <w:rsid w:val="00F46819"/>
    <w:rsid w:val="00F52FEC"/>
    <w:rsid w:val="00FE1CBD"/>
    <w:rsid w:val="00FF674B"/>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0CD0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488C"/>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48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488C"/>
    <w:rPr>
      <w:sz w:val="22"/>
      <w:szCs w:val="22"/>
    </w:rPr>
  </w:style>
  <w:style w:type="paragraph" w:styleId="Sidfot">
    <w:name w:val="footer"/>
    <w:basedOn w:val="Normal"/>
    <w:link w:val="SidfotChar"/>
    <w:unhideWhenUsed/>
    <w:rsid w:val="004A488C"/>
    <w:pPr>
      <w:tabs>
        <w:tab w:val="center" w:pos="4536"/>
        <w:tab w:val="right" w:pos="9072"/>
      </w:tabs>
      <w:spacing w:after="0" w:line="240" w:lineRule="auto"/>
    </w:pPr>
  </w:style>
  <w:style w:type="character" w:customStyle="1" w:styleId="SidfotChar">
    <w:name w:val="Sidfot Char"/>
    <w:basedOn w:val="Standardstycketeckensnitt"/>
    <w:link w:val="Sidfot"/>
    <w:rsid w:val="004A488C"/>
    <w:rPr>
      <w:sz w:val="22"/>
      <w:szCs w:val="22"/>
    </w:rPr>
  </w:style>
  <w:style w:type="character" w:customStyle="1" w:styleId="s1">
    <w:name w:val="s1"/>
    <w:basedOn w:val="Standardstycketeckensnitt"/>
    <w:rsid w:val="004A488C"/>
  </w:style>
  <w:style w:type="paragraph" w:styleId="Fotnotstext">
    <w:name w:val="footnote text"/>
    <w:basedOn w:val="Normal"/>
    <w:link w:val="FotnotstextChar"/>
    <w:uiPriority w:val="99"/>
    <w:rsid w:val="004A488C"/>
    <w:pPr>
      <w:spacing w:after="0" w:line="240" w:lineRule="auto"/>
    </w:pPr>
    <w:rPr>
      <w:rFonts w:ascii="Times New Roman" w:eastAsia="Times New Roman" w:hAnsi="Times New Roman" w:cs="Times New Roman"/>
      <w:sz w:val="24"/>
      <w:szCs w:val="24"/>
      <w:lang w:eastAsia="sv-SE"/>
    </w:rPr>
  </w:style>
  <w:style w:type="character" w:customStyle="1" w:styleId="FotnotstextChar">
    <w:name w:val="Fotnotstext Char"/>
    <w:basedOn w:val="Standardstycketeckensnitt"/>
    <w:link w:val="Fotnotstext"/>
    <w:uiPriority w:val="99"/>
    <w:rsid w:val="004A488C"/>
    <w:rPr>
      <w:rFonts w:ascii="Times New Roman" w:eastAsia="Times New Roman" w:hAnsi="Times New Roman" w:cs="Times New Roman"/>
      <w:lang w:eastAsia="sv-SE"/>
    </w:rPr>
  </w:style>
  <w:style w:type="character" w:styleId="Fotnotsreferens">
    <w:name w:val="footnote reference"/>
    <w:uiPriority w:val="99"/>
    <w:rsid w:val="004A488C"/>
    <w:rPr>
      <w:vertAlign w:val="superscript"/>
    </w:rPr>
  </w:style>
  <w:style w:type="table" w:styleId="Tabellrutnt">
    <w:name w:val="Table Grid"/>
    <w:basedOn w:val="Normaltabell"/>
    <w:uiPriority w:val="39"/>
    <w:rsid w:val="004A4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4A488C"/>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character" w:customStyle="1" w:styleId="BrdtextChar">
    <w:name w:val="Brödtext Char"/>
    <w:basedOn w:val="Standardstycketeckensnitt"/>
    <w:link w:val="Brdtext"/>
    <w:rsid w:val="004A488C"/>
    <w:rPr>
      <w:rFonts w:ascii="Times New Roman" w:eastAsia="Times New Roman" w:hAnsi="Times New Roman" w:cs="Times New Roman"/>
      <w:kern w:val="1"/>
      <w:sz w:val="20"/>
      <w:szCs w:val="20"/>
      <w:lang w:eastAsia="ar-SA"/>
    </w:rPr>
  </w:style>
  <w:style w:type="paragraph" w:styleId="Liststycke">
    <w:name w:val="List Paragraph"/>
    <w:basedOn w:val="Normal"/>
    <w:uiPriority w:val="34"/>
    <w:qFormat/>
    <w:rsid w:val="004A4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716D42-D826-A640-A35A-72CB94A5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599</Words>
  <Characters>3177</Characters>
  <Application>Microsoft Macintosh Word</Application>
  <DocSecurity>0</DocSecurity>
  <Lines>26</Lines>
  <Paragraphs>7</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Minska spädbarnsdödligheten i Sverige </vt:lpstr>
      <vt:lpstr>Förslag till åtgärder </vt:lpstr>
    </vt:vector>
  </TitlesOfParts>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Säterskog</dc:creator>
  <cp:keywords/>
  <dc:description/>
  <cp:lastModifiedBy>Sofia Säterskog</cp:lastModifiedBy>
  <cp:revision>12</cp:revision>
  <dcterms:created xsi:type="dcterms:W3CDTF">2017-01-08T20:43:00Z</dcterms:created>
  <dcterms:modified xsi:type="dcterms:W3CDTF">2017-02-02T18:57:00Z</dcterms:modified>
</cp:coreProperties>
</file>